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F5DA7" w14:textId="54347862" w:rsidR="00973458" w:rsidRPr="00A56B5C" w:rsidRDefault="0008555C" w:rsidP="00973458">
      <w:pPr>
        <w:jc w:val="center"/>
        <w:rPr>
          <w:rFonts w:cstheme="minorHAnsi"/>
          <w:b/>
          <w:sz w:val="28"/>
        </w:rPr>
      </w:pPr>
      <w:bookmarkStart w:id="0" w:name="_GoBack"/>
      <w:bookmarkEnd w:id="0"/>
      <w:r>
        <w:rPr>
          <w:rFonts w:cstheme="minorHAnsi"/>
          <w:b/>
          <w:bCs/>
          <w:sz w:val="28"/>
          <w:szCs w:val="28"/>
        </w:rPr>
        <w:t>LCD HCP</w:t>
      </w:r>
      <w:r w:rsidR="00973458" w:rsidRPr="00A56B5C">
        <w:rPr>
          <w:rFonts w:cstheme="minorHAnsi"/>
          <w:b/>
          <w:bCs/>
          <w:sz w:val="28"/>
          <w:szCs w:val="28"/>
        </w:rPr>
        <w:t>: Frequently Asked Questions (FAQs)</w:t>
      </w:r>
    </w:p>
    <w:p w14:paraId="0C983EF6" w14:textId="77777777" w:rsidR="00B37952" w:rsidRDefault="00B37952" w:rsidP="00ED5403">
      <w:pPr>
        <w:rPr>
          <w:rFonts w:cstheme="minorHAnsi"/>
          <w:b/>
          <w:bCs/>
          <w:sz w:val="28"/>
          <w:szCs w:val="28"/>
        </w:rPr>
      </w:pPr>
    </w:p>
    <w:p w14:paraId="1DC3BBD9" w14:textId="6CC64028" w:rsidR="00ED5403" w:rsidRPr="00A56B5C" w:rsidRDefault="00ED5403" w:rsidP="00ED5403">
      <w:pPr>
        <w:rPr>
          <w:rFonts w:cstheme="minorHAnsi"/>
          <w:b/>
          <w:bCs/>
          <w:sz w:val="28"/>
          <w:szCs w:val="28"/>
        </w:rPr>
      </w:pPr>
      <w:r w:rsidRPr="00A56B5C">
        <w:rPr>
          <w:rFonts w:cstheme="minorHAnsi"/>
          <w:b/>
          <w:bCs/>
          <w:sz w:val="28"/>
          <w:szCs w:val="28"/>
        </w:rPr>
        <w:t>Low Calorie Diet Programme</w:t>
      </w:r>
    </w:p>
    <w:p w14:paraId="15287829" w14:textId="77777777" w:rsidR="00ED5403" w:rsidRPr="00743E9B" w:rsidRDefault="00ED5403" w:rsidP="00B20A32">
      <w:pPr>
        <w:pStyle w:val="ListParagraph"/>
        <w:numPr>
          <w:ilvl w:val="0"/>
          <w:numId w:val="1"/>
        </w:numPr>
        <w:spacing w:line="240" w:lineRule="auto"/>
        <w:ind w:left="426"/>
        <w:rPr>
          <w:rFonts w:cstheme="minorHAnsi"/>
          <w:b/>
        </w:rPr>
      </w:pPr>
      <w:r w:rsidRPr="00743E9B">
        <w:rPr>
          <w:rFonts w:cstheme="minorHAnsi"/>
          <w:b/>
        </w:rPr>
        <w:t>Is there any low calorie diet trial data after one year?</w:t>
      </w:r>
    </w:p>
    <w:p w14:paraId="422E0083" w14:textId="77777777" w:rsidR="00ED5403" w:rsidRPr="00743E9B" w:rsidRDefault="00ED5403" w:rsidP="00B20A32">
      <w:pPr>
        <w:spacing w:line="240" w:lineRule="auto"/>
        <w:ind w:left="426"/>
        <w:rPr>
          <w:rFonts w:eastAsia="Times New Roman" w:cstheme="minorHAnsi"/>
          <w:lang w:eastAsia="en-GB"/>
        </w:rPr>
      </w:pPr>
      <w:r w:rsidRPr="00743E9B">
        <w:rPr>
          <w:rFonts w:eastAsia="Times New Roman" w:cstheme="minorHAnsi"/>
          <w:lang w:eastAsia="en-GB"/>
        </w:rPr>
        <w:t xml:space="preserve">The Direct Study does have data on follow-up after 1 year - </w:t>
      </w:r>
      <w:hyperlink r:id="rId10" w:history="1">
        <w:r w:rsidRPr="00743E9B">
          <w:rPr>
            <w:rStyle w:val="Hyperlink"/>
            <w:rFonts w:eastAsia="Times New Roman" w:cstheme="minorHAnsi"/>
            <w:lang w:eastAsia="en-GB"/>
          </w:rPr>
          <w:t>https://www.directclinicaltrial.org.uk/</w:t>
        </w:r>
      </w:hyperlink>
      <w:r w:rsidRPr="00743E9B">
        <w:rPr>
          <w:rFonts w:eastAsia="Times New Roman" w:cstheme="minorHAnsi"/>
          <w:lang w:eastAsia="en-GB"/>
        </w:rPr>
        <w:t xml:space="preserve">   </w:t>
      </w:r>
    </w:p>
    <w:p w14:paraId="33D701CF" w14:textId="60EA38ED" w:rsidR="00ED5403" w:rsidRPr="00743E9B" w:rsidRDefault="00ED5403" w:rsidP="00B20A32">
      <w:pPr>
        <w:pStyle w:val="ListParagraph"/>
        <w:numPr>
          <w:ilvl w:val="0"/>
          <w:numId w:val="1"/>
        </w:numPr>
        <w:rPr>
          <w:rFonts w:cstheme="minorHAnsi"/>
          <w:b/>
          <w:u w:val="single"/>
        </w:rPr>
      </w:pPr>
      <w:r w:rsidRPr="00743E9B">
        <w:rPr>
          <w:rFonts w:cstheme="minorHAnsi"/>
          <w:b/>
        </w:rPr>
        <w:t xml:space="preserve">What is the estimated drop-out rate from </w:t>
      </w:r>
      <w:r w:rsidR="00B20A32" w:rsidRPr="00743E9B">
        <w:rPr>
          <w:rFonts w:cstheme="minorHAnsi"/>
          <w:b/>
        </w:rPr>
        <w:t>t</w:t>
      </w:r>
      <w:r w:rsidRPr="00743E9B">
        <w:rPr>
          <w:rFonts w:cstheme="minorHAnsi"/>
          <w:b/>
        </w:rPr>
        <w:t>he service?</w:t>
      </w:r>
    </w:p>
    <w:p w14:paraId="5A6D20C3" w14:textId="77777777" w:rsidR="00ED5403" w:rsidRPr="00743E9B" w:rsidRDefault="00ED5403" w:rsidP="00B20A32">
      <w:pPr>
        <w:ind w:left="360"/>
        <w:rPr>
          <w:rFonts w:cstheme="minorHAnsi"/>
        </w:rPr>
      </w:pPr>
      <w:r w:rsidRPr="00743E9B">
        <w:rPr>
          <w:rFonts w:cstheme="minorHAnsi"/>
        </w:rPr>
        <w:t xml:space="preserve">The DIRECT and DROPLET clinical trials recorded dropout rates of 25% and 27%, respectively. </w:t>
      </w:r>
    </w:p>
    <w:p w14:paraId="2E92FE34" w14:textId="77777777" w:rsidR="00343BC4" w:rsidRPr="00743E9B" w:rsidRDefault="00343BC4" w:rsidP="00343BC4">
      <w:pPr>
        <w:pStyle w:val="ListParagraph"/>
        <w:numPr>
          <w:ilvl w:val="0"/>
          <w:numId w:val="1"/>
        </w:numPr>
        <w:rPr>
          <w:rFonts w:cstheme="minorHAnsi"/>
          <w:b/>
        </w:rPr>
      </w:pPr>
      <w:r w:rsidRPr="00743E9B">
        <w:rPr>
          <w:rFonts w:cstheme="minorHAnsi"/>
          <w:b/>
        </w:rPr>
        <w:t>Does the service have any cost for patients?</w:t>
      </w:r>
    </w:p>
    <w:p w14:paraId="19033AAE" w14:textId="1718C5D6" w:rsidR="00343BC4" w:rsidRDefault="00343BC4" w:rsidP="00153CDA">
      <w:pPr>
        <w:ind w:firstLine="357"/>
        <w:rPr>
          <w:rFonts w:eastAsia="Times New Roman" w:cstheme="minorHAnsi"/>
          <w:b/>
          <w:lang w:eastAsia="en-GB"/>
        </w:rPr>
      </w:pPr>
      <w:r w:rsidRPr="00743E9B">
        <w:t>No, the service is completely free for eligible patients</w:t>
      </w:r>
      <w:r>
        <w:t>.</w:t>
      </w:r>
    </w:p>
    <w:p w14:paraId="278ECC62" w14:textId="03E23B22" w:rsidR="00ED5403" w:rsidRPr="00743E9B" w:rsidRDefault="00ED5403" w:rsidP="00B20A32">
      <w:pPr>
        <w:pStyle w:val="ListParagraph"/>
        <w:numPr>
          <w:ilvl w:val="0"/>
          <w:numId w:val="1"/>
        </w:numPr>
        <w:spacing w:line="240" w:lineRule="auto"/>
        <w:ind w:left="357" w:hanging="357"/>
        <w:rPr>
          <w:rFonts w:eastAsia="Times New Roman" w:cstheme="minorHAnsi"/>
          <w:b/>
          <w:lang w:eastAsia="en-GB"/>
        </w:rPr>
      </w:pPr>
      <w:r w:rsidRPr="00743E9B">
        <w:rPr>
          <w:rFonts w:eastAsia="Times New Roman" w:cstheme="minorHAnsi"/>
          <w:b/>
          <w:lang w:eastAsia="en-GB"/>
        </w:rPr>
        <w:t>Can non-English speaking patients take part in the programme?</w:t>
      </w:r>
    </w:p>
    <w:p w14:paraId="34F32DFD" w14:textId="77777777" w:rsidR="00ED5403" w:rsidRPr="00743E9B" w:rsidRDefault="00ED5403" w:rsidP="00B20A32">
      <w:pPr>
        <w:spacing w:line="240" w:lineRule="auto"/>
        <w:ind w:left="360"/>
        <w:rPr>
          <w:rFonts w:eastAsia="Times New Roman" w:cstheme="minorHAnsi"/>
          <w:lang w:eastAsia="en-GB"/>
        </w:rPr>
      </w:pPr>
      <w:r w:rsidRPr="00743E9B">
        <w:rPr>
          <w:rFonts w:eastAsia="Times New Roman" w:cstheme="minorHAnsi"/>
          <w:lang w:eastAsia="en-GB"/>
        </w:rPr>
        <w:t>Service delivery is available in Hindi and Urdu with additional languages supported through in-app audio in Hindi, Bengali, Turkish, Farsi and Gujarati. We will continue to review the language needs of the patients in the area and review if additional languages should be provided.</w:t>
      </w:r>
    </w:p>
    <w:p w14:paraId="077DEA71" w14:textId="3A0C6425" w:rsidR="00BA4237" w:rsidRPr="0011534E" w:rsidRDefault="00BA4237" w:rsidP="00B20A32">
      <w:pPr>
        <w:pStyle w:val="ListParagraph"/>
        <w:numPr>
          <w:ilvl w:val="0"/>
          <w:numId w:val="1"/>
        </w:numPr>
        <w:spacing w:line="240" w:lineRule="auto"/>
        <w:ind w:left="357" w:hanging="357"/>
        <w:textAlignment w:val="baseline"/>
        <w:rPr>
          <w:rFonts w:eastAsia="Times New Roman" w:cstheme="minorHAnsi"/>
          <w:b/>
          <w:lang w:eastAsia="en-GB"/>
        </w:rPr>
      </w:pPr>
      <w:r w:rsidRPr="0011534E">
        <w:rPr>
          <w:rFonts w:eastAsia="Times New Roman" w:cstheme="minorHAnsi"/>
          <w:b/>
          <w:lang w:eastAsia="en-GB"/>
        </w:rPr>
        <w:t>Are the diets tailored to different cultural requirements?</w:t>
      </w:r>
    </w:p>
    <w:p w14:paraId="1C30C8DC" w14:textId="4F4120E7" w:rsidR="0011534E" w:rsidRDefault="0011534E" w:rsidP="0011534E">
      <w:pPr>
        <w:ind w:left="357"/>
        <w:rPr>
          <w:lang w:eastAsia="en-GB"/>
        </w:rPr>
      </w:pPr>
      <w:r w:rsidRPr="678C4D00">
        <w:rPr>
          <w:lang w:eastAsia="en-GB"/>
        </w:rPr>
        <w:t>We adapt a patient centred approach. We do not provide specific diet plans</w:t>
      </w:r>
      <w:r w:rsidR="009405C4" w:rsidRPr="678C4D00">
        <w:rPr>
          <w:lang w:eastAsia="en-GB"/>
        </w:rPr>
        <w:t>;</w:t>
      </w:r>
      <w:r w:rsidRPr="678C4D00">
        <w:rPr>
          <w:lang w:eastAsia="en-GB"/>
        </w:rPr>
        <w:t xml:space="preserve"> we empower our patients to make their own dietary decisions based on the current government </w:t>
      </w:r>
      <w:proofErr w:type="spellStart"/>
      <w:r w:rsidRPr="678C4D00">
        <w:rPr>
          <w:lang w:eastAsia="en-GB"/>
        </w:rPr>
        <w:t>EatWell</w:t>
      </w:r>
      <w:proofErr w:type="spellEnd"/>
      <w:r w:rsidRPr="678C4D00">
        <w:rPr>
          <w:lang w:eastAsia="en-GB"/>
        </w:rPr>
        <w:t xml:space="preserve"> guidelines which can be adapted to suit any specific cultural needs. </w:t>
      </w:r>
    </w:p>
    <w:p w14:paraId="50F4B0AF" w14:textId="2099FB43" w:rsidR="00BA4237" w:rsidRPr="00BA4237" w:rsidRDefault="0011534E" w:rsidP="0011534E">
      <w:pPr>
        <w:ind w:left="357"/>
        <w:rPr>
          <w:lang w:eastAsia="en-GB"/>
        </w:rPr>
      </w:pPr>
      <w:r w:rsidRPr="3100BBC2">
        <w:rPr>
          <w:lang w:eastAsia="en-GB"/>
        </w:rPr>
        <w:t>We provide general examples of different recipes that are culturally diverse.</w:t>
      </w:r>
    </w:p>
    <w:p w14:paraId="4E4DBED3" w14:textId="7CE9C2F8" w:rsidR="73872217" w:rsidRDefault="73872217" w:rsidP="3100BBC2">
      <w:pPr>
        <w:ind w:left="357"/>
        <w:rPr>
          <w:lang w:eastAsia="en-GB"/>
        </w:rPr>
      </w:pPr>
      <w:r w:rsidRPr="3100BBC2">
        <w:rPr>
          <w:lang w:eastAsia="en-GB"/>
        </w:rPr>
        <w:t xml:space="preserve">However, our TDR products are not suitable for vegans. </w:t>
      </w:r>
    </w:p>
    <w:p w14:paraId="148A39D9" w14:textId="77777777" w:rsidR="00787461" w:rsidRPr="00743E9B" w:rsidRDefault="00787461" w:rsidP="00787461">
      <w:pPr>
        <w:pStyle w:val="ListParagraph"/>
        <w:numPr>
          <w:ilvl w:val="0"/>
          <w:numId w:val="1"/>
        </w:numPr>
        <w:spacing w:line="240" w:lineRule="auto"/>
        <w:ind w:left="357" w:hanging="357"/>
        <w:textAlignment w:val="baseline"/>
        <w:rPr>
          <w:rFonts w:eastAsia="Times New Roman" w:cstheme="minorHAnsi"/>
          <w:lang w:eastAsia="en-GB"/>
        </w:rPr>
      </w:pPr>
      <w:r w:rsidRPr="00743E9B">
        <w:rPr>
          <w:rFonts w:eastAsia="Times New Roman" w:cstheme="minorHAnsi"/>
          <w:b/>
          <w:bCs/>
          <w:lang w:eastAsia="en-GB"/>
        </w:rPr>
        <w:t>What is the advice for physical activity for patients during the TDR Phase?</w:t>
      </w:r>
      <w:r w:rsidRPr="00743E9B">
        <w:rPr>
          <w:rFonts w:eastAsia="Times New Roman" w:cstheme="minorHAnsi"/>
          <w:lang w:eastAsia="en-GB"/>
        </w:rPr>
        <w:t> </w:t>
      </w:r>
    </w:p>
    <w:p w14:paraId="15D9FD58" w14:textId="77777777" w:rsidR="00787461" w:rsidRPr="00743E9B" w:rsidRDefault="00787461" w:rsidP="00787461">
      <w:pPr>
        <w:ind w:left="357"/>
        <w:rPr>
          <w:lang w:eastAsia="en-GB"/>
        </w:rPr>
      </w:pPr>
      <w:r w:rsidRPr="00743E9B">
        <w:rPr>
          <w:lang w:eastAsia="en-GB"/>
        </w:rPr>
        <w:t>Patients are not asked to increase their activity levels during TDR. They are asked to maintain their usual light activity levels during this stage. Physical Activity is introduced in the following stages of the programme.</w:t>
      </w:r>
    </w:p>
    <w:p w14:paraId="0428A23E" w14:textId="70CC7988" w:rsidR="00787461" w:rsidRPr="00AE46BD" w:rsidRDefault="00482DAB" w:rsidP="00B20A32">
      <w:pPr>
        <w:pStyle w:val="ListParagraph"/>
        <w:numPr>
          <w:ilvl w:val="0"/>
          <w:numId w:val="1"/>
        </w:numPr>
        <w:spacing w:line="240" w:lineRule="auto"/>
        <w:ind w:left="357" w:hanging="357"/>
        <w:textAlignment w:val="baseline"/>
        <w:rPr>
          <w:rFonts w:eastAsia="Times New Roman" w:cstheme="minorHAnsi"/>
          <w:b/>
          <w:lang w:eastAsia="en-GB"/>
        </w:rPr>
      </w:pPr>
      <w:r w:rsidRPr="00AE46BD">
        <w:rPr>
          <w:rFonts w:eastAsia="Times New Roman" w:cstheme="minorHAnsi"/>
          <w:b/>
          <w:lang w:eastAsia="en-GB"/>
        </w:rPr>
        <w:t>How are patients monitored on the programme?</w:t>
      </w:r>
    </w:p>
    <w:p w14:paraId="3130675D" w14:textId="5F51CF93" w:rsidR="00AE46BD" w:rsidRDefault="00630909" w:rsidP="00AE46BD">
      <w:pPr>
        <w:ind w:left="357"/>
        <w:rPr>
          <w:lang w:eastAsia="en-GB"/>
        </w:rPr>
      </w:pPr>
      <w:r>
        <w:rPr>
          <w:lang w:eastAsia="en-GB"/>
        </w:rPr>
        <w:t>O</w:t>
      </w:r>
      <w:r w:rsidR="00AE46BD">
        <w:rPr>
          <w:lang w:eastAsia="en-GB"/>
        </w:rPr>
        <w:t xml:space="preserve">ur Diabetes Practitioners collect measurements during their sessions. </w:t>
      </w:r>
      <w:r w:rsidR="008C569E">
        <w:rPr>
          <w:lang w:eastAsia="en-GB"/>
        </w:rPr>
        <w:t>Our</w:t>
      </w:r>
      <w:r w:rsidR="00AE46BD">
        <w:rPr>
          <w:lang w:eastAsia="en-GB"/>
        </w:rPr>
        <w:t xml:space="preserve"> reporting system </w:t>
      </w:r>
      <w:r w:rsidR="008C569E">
        <w:rPr>
          <w:lang w:eastAsia="en-GB"/>
        </w:rPr>
        <w:t xml:space="preserve">is able </w:t>
      </w:r>
      <w:r w:rsidR="00AE46BD">
        <w:rPr>
          <w:lang w:eastAsia="en-GB"/>
        </w:rPr>
        <w:t xml:space="preserve">to </w:t>
      </w:r>
      <w:r w:rsidR="00217213">
        <w:rPr>
          <w:lang w:eastAsia="en-GB"/>
        </w:rPr>
        <w:t>p</w:t>
      </w:r>
      <w:r w:rsidR="00AE46BD">
        <w:rPr>
          <w:lang w:eastAsia="en-GB"/>
        </w:rPr>
        <w:t>ick up on any health triggers, inconsistencies</w:t>
      </w:r>
      <w:r w:rsidR="00E637BC">
        <w:rPr>
          <w:lang w:eastAsia="en-GB"/>
        </w:rPr>
        <w:t>,</w:t>
      </w:r>
      <w:r w:rsidR="00AE46BD">
        <w:rPr>
          <w:lang w:eastAsia="en-GB"/>
        </w:rPr>
        <w:t xml:space="preserve"> etc. which then trigger an action from the </w:t>
      </w:r>
      <w:bookmarkStart w:id="1" w:name="_Hlk68788517"/>
      <w:r w:rsidR="00AE46BD">
        <w:rPr>
          <w:lang w:eastAsia="en-GB"/>
        </w:rPr>
        <w:t>M</w:t>
      </w:r>
      <w:r w:rsidR="00D04A60">
        <w:rPr>
          <w:lang w:eastAsia="en-GB"/>
        </w:rPr>
        <w:t>ulti-disciplinary</w:t>
      </w:r>
      <w:r w:rsidR="00AE46BD">
        <w:rPr>
          <w:lang w:eastAsia="en-GB"/>
        </w:rPr>
        <w:t xml:space="preserve"> </w:t>
      </w:r>
      <w:bookmarkEnd w:id="1"/>
      <w:r w:rsidR="00AE46BD">
        <w:rPr>
          <w:lang w:eastAsia="en-GB"/>
        </w:rPr>
        <w:t xml:space="preserve">Team. </w:t>
      </w:r>
    </w:p>
    <w:p w14:paraId="28FA35C0" w14:textId="7DC97F65" w:rsidR="00AE46BD" w:rsidRDefault="00AE46BD" w:rsidP="00AE46BD">
      <w:pPr>
        <w:ind w:left="357"/>
        <w:rPr>
          <w:lang w:eastAsia="en-GB"/>
        </w:rPr>
      </w:pPr>
      <w:r>
        <w:rPr>
          <w:lang w:eastAsia="en-GB"/>
        </w:rPr>
        <w:t>The patients are given an email address to send any concerns to</w:t>
      </w:r>
      <w:r w:rsidR="002A1472">
        <w:rPr>
          <w:lang w:eastAsia="en-GB"/>
        </w:rPr>
        <w:t xml:space="preserve"> and</w:t>
      </w:r>
      <w:r w:rsidR="00B11AC0">
        <w:rPr>
          <w:lang w:eastAsia="en-GB"/>
        </w:rPr>
        <w:t xml:space="preserve"> this</w:t>
      </w:r>
      <w:r>
        <w:rPr>
          <w:lang w:eastAsia="en-GB"/>
        </w:rPr>
        <w:t xml:space="preserve"> is monitored by the </w:t>
      </w:r>
      <w:r w:rsidR="00B11AC0" w:rsidRPr="00B11AC0">
        <w:rPr>
          <w:lang w:eastAsia="en-GB"/>
        </w:rPr>
        <w:t xml:space="preserve">Multi-disciplinary </w:t>
      </w:r>
      <w:r>
        <w:rPr>
          <w:lang w:eastAsia="en-GB"/>
        </w:rPr>
        <w:t xml:space="preserve">Team. </w:t>
      </w:r>
    </w:p>
    <w:p w14:paraId="3F023061" w14:textId="2F5D74BE" w:rsidR="006E1403" w:rsidRDefault="00AE46BD" w:rsidP="49A2496F">
      <w:pPr>
        <w:spacing w:line="240" w:lineRule="auto"/>
        <w:ind w:left="357"/>
        <w:textAlignment w:val="baseline"/>
        <w:rPr>
          <w:lang w:eastAsia="en-GB"/>
        </w:rPr>
      </w:pPr>
      <w:r w:rsidRPr="49A2496F">
        <w:rPr>
          <w:lang w:eastAsia="en-GB"/>
        </w:rPr>
        <w:t>The patients are encouraged to call 999 or seek medical advice if th</w:t>
      </w:r>
      <w:r w:rsidR="001C616F" w:rsidRPr="49A2496F">
        <w:rPr>
          <w:lang w:eastAsia="en-GB"/>
        </w:rPr>
        <w:t>ere are any medical emergencies</w:t>
      </w:r>
      <w:r w:rsidRPr="49A2496F">
        <w:rPr>
          <w:lang w:eastAsia="en-GB"/>
        </w:rPr>
        <w:t>.</w:t>
      </w:r>
    </w:p>
    <w:p w14:paraId="56A9D065" w14:textId="5CBC4DD1" w:rsidR="00787461" w:rsidRDefault="002C609F" w:rsidP="678C4D00">
      <w:pPr>
        <w:pStyle w:val="ListParagraph"/>
        <w:numPr>
          <w:ilvl w:val="0"/>
          <w:numId w:val="1"/>
        </w:numPr>
        <w:spacing w:line="240" w:lineRule="auto"/>
        <w:ind w:left="357" w:hanging="357"/>
        <w:textAlignment w:val="baseline"/>
        <w:rPr>
          <w:rFonts w:eastAsia="Times New Roman"/>
          <w:b/>
          <w:bCs/>
          <w:lang w:eastAsia="en-GB"/>
        </w:rPr>
      </w:pPr>
      <w:r w:rsidRPr="678C4D00">
        <w:rPr>
          <w:rFonts w:eastAsia="Times New Roman"/>
          <w:b/>
          <w:bCs/>
          <w:lang w:eastAsia="en-GB"/>
        </w:rPr>
        <w:t>Am I able to refer patients waiting for their Retinal Screening appointments?</w:t>
      </w:r>
    </w:p>
    <w:p w14:paraId="1B0C9206" w14:textId="77777777" w:rsidR="009269CC" w:rsidRPr="009269CC" w:rsidRDefault="009269CC" w:rsidP="009269CC">
      <w:pPr>
        <w:ind w:left="357"/>
        <w:rPr>
          <w:i/>
          <w:lang w:eastAsia="en-GB"/>
        </w:rPr>
      </w:pPr>
      <w:r w:rsidRPr="009269CC">
        <w:rPr>
          <w:i/>
          <w:lang w:eastAsia="en-GB"/>
        </w:rPr>
        <w:t>Response from NHSE:</w:t>
      </w:r>
    </w:p>
    <w:p w14:paraId="4C4AA049" w14:textId="77777777" w:rsidR="009269CC" w:rsidRDefault="009269CC" w:rsidP="009269CC">
      <w:pPr>
        <w:ind w:left="357"/>
        <w:rPr>
          <w:lang w:eastAsia="en-GB"/>
        </w:rPr>
      </w:pPr>
      <w:r>
        <w:rPr>
          <w:lang w:eastAsia="en-GB"/>
        </w:rPr>
        <w:lastRenderedPageBreak/>
        <w:t xml:space="preserve">The eligibility criteria states “Have attended for monitoring and diabetes review when this was last offered, including retinal screening, and commits to continue attending reviews, even if remission is achieved.” Therefore, if the referring GP is content that </w:t>
      </w:r>
      <w:proofErr w:type="gramStart"/>
      <w:r>
        <w:rPr>
          <w:lang w:eastAsia="en-GB"/>
        </w:rPr>
        <w:t>this criteria</w:t>
      </w:r>
      <w:proofErr w:type="gramEnd"/>
      <w:r>
        <w:rPr>
          <w:lang w:eastAsia="en-GB"/>
        </w:rPr>
        <w:t xml:space="preserve"> is met and the individual will attend when offered, they can be referred. </w:t>
      </w:r>
    </w:p>
    <w:p w14:paraId="401BF604" w14:textId="4A6D07B8" w:rsidR="405EDA30" w:rsidRPr="00A56B5C" w:rsidRDefault="405EDA30" w:rsidP="00B20A32">
      <w:pPr>
        <w:rPr>
          <w:rFonts w:cstheme="minorHAnsi"/>
          <w:b/>
          <w:bCs/>
          <w:sz w:val="28"/>
          <w:szCs w:val="28"/>
        </w:rPr>
      </w:pPr>
      <w:r w:rsidRPr="00A56B5C">
        <w:rPr>
          <w:rFonts w:cstheme="minorHAnsi"/>
          <w:b/>
          <w:bCs/>
          <w:sz w:val="28"/>
          <w:szCs w:val="28"/>
        </w:rPr>
        <w:t>Referring</w:t>
      </w:r>
    </w:p>
    <w:p w14:paraId="74401554" w14:textId="0BB27E26" w:rsidR="009248BC" w:rsidRPr="00743E9B" w:rsidRDefault="009248BC" w:rsidP="678C4D00">
      <w:pPr>
        <w:pStyle w:val="ListParagraph"/>
        <w:numPr>
          <w:ilvl w:val="0"/>
          <w:numId w:val="1"/>
        </w:numPr>
        <w:rPr>
          <w:b/>
          <w:bCs/>
        </w:rPr>
      </w:pPr>
      <w:r w:rsidRPr="678C4D00">
        <w:rPr>
          <w:b/>
          <w:bCs/>
        </w:rPr>
        <w:t>Can patients with Fatty Liver participate in the programme?</w:t>
      </w:r>
    </w:p>
    <w:p w14:paraId="597F2CC7" w14:textId="672A70DC" w:rsidR="009248BC" w:rsidRPr="00743E9B" w:rsidRDefault="009248BC" w:rsidP="00E14F09">
      <w:pPr>
        <w:ind w:left="357"/>
      </w:pPr>
      <w:r w:rsidRPr="00743E9B">
        <w:t xml:space="preserve">Patients with fatty liver can take part in the programme… details: </w:t>
      </w:r>
      <w:hyperlink r:id="rId11" w:history="1">
        <w:r w:rsidRPr="00743E9B">
          <w:rPr>
            <w:rStyle w:val="Hyperlink"/>
            <w:rFonts w:cstheme="minorHAnsi"/>
          </w:rPr>
          <w:t>https://www.diabetes.org.uk/research/research-round-up/research-spotlight/research-spotlight-low-calorie-liquid-diet</w:t>
        </w:r>
      </w:hyperlink>
      <w:r w:rsidRPr="00743E9B">
        <w:t xml:space="preserve"> </w:t>
      </w:r>
    </w:p>
    <w:p w14:paraId="7EF2FAA4" w14:textId="77777777" w:rsidR="00544056" w:rsidRPr="00743E9B" w:rsidRDefault="00544056" w:rsidP="678C4D00">
      <w:pPr>
        <w:pStyle w:val="ListParagraph"/>
        <w:numPr>
          <w:ilvl w:val="0"/>
          <w:numId w:val="1"/>
        </w:numPr>
        <w:spacing w:line="240" w:lineRule="auto"/>
        <w:ind w:left="357" w:hanging="357"/>
        <w:rPr>
          <w:rFonts w:eastAsia="Times New Roman"/>
          <w:b/>
          <w:bCs/>
          <w:lang w:eastAsia="en-GB"/>
        </w:rPr>
      </w:pPr>
      <w:r w:rsidRPr="678C4D00">
        <w:rPr>
          <w:rFonts w:eastAsia="Times New Roman"/>
          <w:b/>
          <w:bCs/>
          <w:lang w:eastAsia="en-GB"/>
        </w:rPr>
        <w:t>Is there a contra indication to join the programme if the patient has advanced CKD?</w:t>
      </w:r>
    </w:p>
    <w:p w14:paraId="1EB6D587" w14:textId="6F992FA2" w:rsidR="00544056" w:rsidRPr="00743E9B" w:rsidRDefault="00544056" w:rsidP="3100BBC2">
      <w:pPr>
        <w:ind w:left="357"/>
        <w:rPr>
          <w:rFonts w:eastAsia="Times New Roman"/>
          <w:b/>
          <w:bCs/>
          <w:lang w:eastAsia="en-GB"/>
        </w:rPr>
      </w:pPr>
      <w:r w:rsidRPr="00743E9B">
        <w:rPr>
          <w:shd w:val="clear" w:color="auto" w:fill="FFFFFF"/>
        </w:rPr>
        <w:t xml:space="preserve">Yes. </w:t>
      </w:r>
      <w:r w:rsidRPr="3100BBC2">
        <w:rPr>
          <w:rStyle w:val="normaltextrun"/>
          <w:color w:val="000000"/>
          <w:shd w:val="clear" w:color="auto" w:fill="FFFFFF"/>
        </w:rPr>
        <w:t>Severe renal impairment (most recent eGFR &lt; 30mls/min/1.73m</w:t>
      </w:r>
      <w:r w:rsidRPr="3100BBC2">
        <w:rPr>
          <w:rStyle w:val="normaltextrun"/>
          <w:color w:val="000000"/>
          <w:shd w:val="clear" w:color="auto" w:fill="FFFFFF"/>
          <w:vertAlign w:val="superscript"/>
        </w:rPr>
        <w:t>2</w:t>
      </w:r>
      <w:r w:rsidRPr="3100BBC2">
        <w:rPr>
          <w:rStyle w:val="normaltextrun"/>
          <w:color w:val="000000"/>
          <w:shd w:val="clear" w:color="auto" w:fill="FFFFFF"/>
        </w:rPr>
        <w:t> </w:t>
      </w:r>
      <w:r w:rsidR="64103D31" w:rsidRPr="3100BBC2">
        <w:rPr>
          <w:rStyle w:val="normaltextrun"/>
          <w:color w:val="000000" w:themeColor="text1"/>
        </w:rPr>
        <w:t>persisting</w:t>
      </w:r>
      <w:r w:rsidR="64103D31" w:rsidRPr="3100BBC2">
        <w:rPr>
          <w:rStyle w:val="normaltextrun"/>
          <w:color w:val="000000"/>
          <w:shd w:val="clear" w:color="auto" w:fill="FFFFFF"/>
        </w:rPr>
        <w:t xml:space="preserve"> </w:t>
      </w:r>
      <w:r w:rsidR="70C80081" w:rsidRPr="3100BBC2">
        <w:rPr>
          <w:rStyle w:val="normaltextrun"/>
          <w:color w:val="000000"/>
          <w:shd w:val="clear" w:color="auto" w:fill="FFFFFF"/>
        </w:rPr>
        <w:t>(</w:t>
      </w:r>
      <w:proofErr w:type="spellStart"/>
      <w:r w:rsidR="1CBD54A9" w:rsidRPr="3100BBC2">
        <w:rPr>
          <w:rStyle w:val="normaltextrun"/>
          <w:color w:val="000000"/>
          <w:shd w:val="clear" w:color="auto" w:fill="FFFFFF"/>
        </w:rPr>
        <w:t>i</w:t>
      </w:r>
      <w:r w:rsidR="70C80081" w:rsidRPr="3100BBC2">
        <w:rPr>
          <w:rStyle w:val="normaltextrun"/>
          <w:color w:val="000000"/>
          <w:shd w:val="clear" w:color="auto" w:fill="FFFFFF"/>
        </w:rPr>
        <w:t>.e</w:t>
      </w:r>
      <w:proofErr w:type="spellEnd"/>
      <w:r w:rsidR="70C80081" w:rsidRPr="3100BBC2">
        <w:rPr>
          <w:rStyle w:val="normaltextrun"/>
          <w:color w:val="000000"/>
          <w:shd w:val="clear" w:color="auto" w:fill="FFFFFF"/>
        </w:rPr>
        <w:t xml:space="preserve"> not due to AKI) </w:t>
      </w:r>
      <w:r w:rsidRPr="3100BBC2">
        <w:rPr>
          <w:rStyle w:val="normaltextrun"/>
          <w:color w:val="000000"/>
          <w:shd w:val="clear" w:color="auto" w:fill="FFFFFF"/>
        </w:rPr>
        <w:t>within the last 12 months)</w:t>
      </w:r>
      <w:r w:rsidR="579C8127" w:rsidRPr="3100BBC2">
        <w:rPr>
          <w:rStyle w:val="normaltextrun"/>
          <w:color w:val="000000"/>
          <w:shd w:val="clear" w:color="auto" w:fill="FFFFFF"/>
        </w:rPr>
        <w:t>)</w:t>
      </w:r>
      <w:r w:rsidRPr="3100BBC2">
        <w:rPr>
          <w:rStyle w:val="normaltextrun"/>
          <w:color w:val="000000"/>
          <w:shd w:val="clear" w:color="auto" w:fill="FFFFFF"/>
        </w:rPr>
        <w:t xml:space="preserve"> is part of the exclusion criteria.</w:t>
      </w:r>
      <w:r w:rsidRPr="3100BBC2">
        <w:rPr>
          <w:rStyle w:val="eop"/>
          <w:color w:val="000000" w:themeColor="text1"/>
        </w:rPr>
        <w:t> </w:t>
      </w:r>
    </w:p>
    <w:p w14:paraId="50F12D14" w14:textId="1657BA66" w:rsidR="004778C0" w:rsidRPr="00743E9B" w:rsidRDefault="004778C0" w:rsidP="678C4D00">
      <w:pPr>
        <w:pStyle w:val="ListParagraph"/>
        <w:numPr>
          <w:ilvl w:val="0"/>
          <w:numId w:val="1"/>
        </w:numPr>
        <w:spacing w:line="240" w:lineRule="auto"/>
        <w:ind w:left="357" w:hanging="357"/>
        <w:rPr>
          <w:rFonts w:eastAsia="Times New Roman"/>
          <w:b/>
          <w:bCs/>
          <w:lang w:eastAsia="en-GB"/>
        </w:rPr>
      </w:pPr>
      <w:r w:rsidRPr="678C4D00">
        <w:rPr>
          <w:rFonts w:eastAsia="Times New Roman"/>
          <w:b/>
          <w:bCs/>
          <w:lang w:eastAsia="en-GB"/>
        </w:rPr>
        <w:t xml:space="preserve">If a patient’s HbA1c cannot be recorded due to HB D trait can they still take part in the programme? </w:t>
      </w:r>
    </w:p>
    <w:p w14:paraId="412C8AF3" w14:textId="354553D9" w:rsidR="004778C0" w:rsidRDefault="004778C0" w:rsidP="3100BBC2">
      <w:pPr>
        <w:spacing w:line="240" w:lineRule="auto"/>
        <w:ind w:left="357"/>
        <w:rPr>
          <w:rFonts w:eastAsia="Times New Roman"/>
          <w:b/>
          <w:bCs/>
          <w:lang w:eastAsia="en-GB"/>
        </w:rPr>
      </w:pPr>
      <w:r w:rsidRPr="3100BBC2">
        <w:rPr>
          <w:rFonts w:eastAsia="Calibri"/>
        </w:rPr>
        <w:t xml:space="preserve">Yes. You would measure their </w:t>
      </w:r>
      <w:proofErr w:type="spellStart"/>
      <w:r w:rsidRPr="3100BBC2">
        <w:rPr>
          <w:rFonts w:eastAsia="Calibri"/>
        </w:rPr>
        <w:t>fructosamine</w:t>
      </w:r>
      <w:proofErr w:type="spellEnd"/>
      <w:r w:rsidRPr="3100BBC2">
        <w:rPr>
          <w:rFonts w:eastAsia="Calibri"/>
        </w:rPr>
        <w:t xml:space="preserve"> levels and it would need to be below 400.</w:t>
      </w:r>
    </w:p>
    <w:p w14:paraId="27DC99FA" w14:textId="77777777" w:rsidR="004778C0" w:rsidRPr="00743E9B" w:rsidRDefault="004778C0" w:rsidP="678C4D00">
      <w:pPr>
        <w:pStyle w:val="ListParagraph"/>
        <w:numPr>
          <w:ilvl w:val="0"/>
          <w:numId w:val="1"/>
        </w:numPr>
        <w:ind w:left="357" w:hanging="357"/>
        <w:rPr>
          <w:rFonts w:eastAsia="Times New Roman"/>
          <w:b/>
          <w:bCs/>
          <w:lang w:eastAsia="en-GB"/>
        </w:rPr>
      </w:pPr>
      <w:r w:rsidRPr="678C4D00">
        <w:rPr>
          <w:rFonts w:eastAsia="Times New Roman"/>
          <w:b/>
          <w:bCs/>
          <w:lang w:eastAsia="en-GB"/>
        </w:rPr>
        <w:t>Are the patients required to receive a copy of the medication changes?</w:t>
      </w:r>
    </w:p>
    <w:p w14:paraId="550BDF5D" w14:textId="77777777" w:rsidR="004778C0" w:rsidRPr="00743E9B" w:rsidRDefault="004778C0" w:rsidP="00D95C4B">
      <w:pPr>
        <w:ind w:left="357"/>
        <w:rPr>
          <w:lang w:eastAsia="en-GB"/>
        </w:rPr>
      </w:pPr>
      <w:r w:rsidRPr="00743E9B">
        <w:rPr>
          <w:lang w:eastAsia="en-GB"/>
        </w:rPr>
        <w:t>Yes. If a patient does not receive a copy of their medication changes (electronic or paper) they will not be able to progress to the next stage. They will be redirected back to the practice to gain a copy of their medication changes if they do not have it.</w:t>
      </w:r>
    </w:p>
    <w:p w14:paraId="75CE308A" w14:textId="77777777" w:rsidR="00874AF4" w:rsidRDefault="004778C0" w:rsidP="678C4D00">
      <w:pPr>
        <w:pStyle w:val="ListParagraph"/>
        <w:numPr>
          <w:ilvl w:val="0"/>
          <w:numId w:val="1"/>
        </w:numPr>
        <w:ind w:left="357" w:hanging="357"/>
        <w:rPr>
          <w:rFonts w:eastAsia="Times New Roman"/>
          <w:b/>
          <w:bCs/>
          <w:lang w:eastAsia="en-GB"/>
        </w:rPr>
      </w:pPr>
      <w:r w:rsidRPr="678C4D00">
        <w:rPr>
          <w:rFonts w:eastAsia="Times New Roman"/>
          <w:b/>
          <w:bCs/>
          <w:lang w:eastAsia="en-GB"/>
        </w:rPr>
        <w:t xml:space="preserve">How long do patients need to be off medication before commencing the program? </w:t>
      </w:r>
    </w:p>
    <w:p w14:paraId="5BB5E4C0" w14:textId="02290264" w:rsidR="004778C0" w:rsidRPr="00743E9B" w:rsidRDefault="004778C0" w:rsidP="00D95C4B">
      <w:pPr>
        <w:ind w:left="357"/>
        <w:rPr>
          <w:b/>
          <w:bCs/>
          <w:lang w:eastAsia="en-GB"/>
        </w:rPr>
      </w:pPr>
      <w:r w:rsidRPr="00743E9B">
        <w:rPr>
          <w:lang w:eastAsia="en-GB"/>
        </w:rPr>
        <w:t>Patients only stop their medication on their first day of TDR. They do not stop their medication before commencing the programme.</w:t>
      </w:r>
      <w:r w:rsidRPr="00743E9B">
        <w:rPr>
          <w:b/>
          <w:bCs/>
          <w:lang w:eastAsia="en-GB"/>
        </w:rPr>
        <w:t xml:space="preserve">  </w:t>
      </w:r>
    </w:p>
    <w:p w14:paraId="6ED281EE" w14:textId="77777777" w:rsidR="00934F58" w:rsidRPr="00743E9B" w:rsidRDefault="00934F58" w:rsidP="678C4D00">
      <w:pPr>
        <w:pStyle w:val="ListParagraph"/>
        <w:numPr>
          <w:ilvl w:val="0"/>
          <w:numId w:val="1"/>
        </w:numPr>
        <w:ind w:left="357" w:hanging="357"/>
        <w:rPr>
          <w:rFonts w:eastAsia="Times New Roman"/>
          <w:b/>
          <w:bCs/>
          <w:lang w:eastAsia="en-GB"/>
        </w:rPr>
      </w:pPr>
      <w:r w:rsidRPr="678C4D00">
        <w:rPr>
          <w:rFonts w:eastAsia="Times New Roman"/>
          <w:b/>
          <w:bCs/>
          <w:lang w:eastAsia="en-GB"/>
        </w:rPr>
        <w:t xml:space="preserve">Who provides medication reviews and potential subsequent changes? </w:t>
      </w:r>
    </w:p>
    <w:p w14:paraId="352D5E81" w14:textId="77777777" w:rsidR="00C84B5B" w:rsidRDefault="00934F58" w:rsidP="00887695">
      <w:pPr>
        <w:ind w:left="357"/>
        <w:rPr>
          <w:highlight w:val="yellow"/>
          <w:lang w:eastAsia="en-GB"/>
        </w:rPr>
      </w:pPr>
      <w:r w:rsidRPr="217523B0">
        <w:rPr>
          <w:lang w:eastAsia="en-GB"/>
        </w:rPr>
        <w:t>GPs or other nominated clinical pharmacist/ANP/PN in your practice.</w:t>
      </w:r>
    </w:p>
    <w:p w14:paraId="24365838" w14:textId="3A1B4ED6" w:rsidR="3698D8EB" w:rsidRPr="00C84B5B" w:rsidRDefault="6263270C" w:rsidP="00C84B5B">
      <w:pPr>
        <w:pStyle w:val="ListParagraph"/>
        <w:numPr>
          <w:ilvl w:val="0"/>
          <w:numId w:val="1"/>
        </w:numPr>
        <w:rPr>
          <w:b/>
          <w:lang w:eastAsia="en-GB"/>
        </w:rPr>
      </w:pPr>
      <w:r w:rsidRPr="00C84B5B">
        <w:rPr>
          <w:b/>
          <w:lang w:eastAsia="en-GB"/>
        </w:rPr>
        <w:t>Who provides</w:t>
      </w:r>
      <w:r w:rsidR="3698D8EB" w:rsidRPr="00C84B5B">
        <w:rPr>
          <w:b/>
          <w:lang w:eastAsia="en-GB"/>
        </w:rPr>
        <w:t xml:space="preserve"> blood glucose and blood pressure monitoring kits?</w:t>
      </w:r>
    </w:p>
    <w:p w14:paraId="2841B064" w14:textId="49FF8E4B" w:rsidR="3698D8EB" w:rsidRPr="00C84B5B" w:rsidRDefault="3698D8EB" w:rsidP="3100BBC2">
      <w:pPr>
        <w:ind w:left="357"/>
        <w:rPr>
          <w:lang w:eastAsia="en-GB"/>
        </w:rPr>
      </w:pPr>
      <w:r w:rsidRPr="00C84B5B">
        <w:rPr>
          <w:lang w:eastAsia="en-GB"/>
        </w:rPr>
        <w:t xml:space="preserve">Xyla Health &amp; Wellbeing provide all equipment and TDR products needed for the programme. </w:t>
      </w:r>
    </w:p>
    <w:p w14:paraId="5FEABE0F" w14:textId="77777777" w:rsidR="00934F58" w:rsidRPr="00743E9B" w:rsidRDefault="00934F58" w:rsidP="678C4D00">
      <w:pPr>
        <w:pStyle w:val="paragraph"/>
        <w:numPr>
          <w:ilvl w:val="0"/>
          <w:numId w:val="1"/>
        </w:numPr>
        <w:spacing w:before="0" w:beforeAutospacing="0" w:after="160" w:afterAutospacing="0"/>
        <w:ind w:left="357" w:hanging="357"/>
        <w:textAlignment w:val="baseline"/>
        <w:rPr>
          <w:rFonts w:asciiTheme="minorHAnsi" w:hAnsiTheme="minorHAnsi" w:cstheme="minorBidi"/>
          <w:sz w:val="22"/>
          <w:szCs w:val="22"/>
        </w:rPr>
      </w:pPr>
      <w:r w:rsidRPr="678C4D00">
        <w:rPr>
          <w:rStyle w:val="normaltextrun"/>
          <w:rFonts w:asciiTheme="minorHAnsi" w:hAnsiTheme="minorHAnsi" w:cstheme="minorBidi"/>
          <w:b/>
          <w:bCs/>
          <w:sz w:val="22"/>
          <w:szCs w:val="22"/>
        </w:rPr>
        <w:t>Is there a drug re-introduction guideline, if indicated by regular monitoring of blood glucose/blood pressure?</w:t>
      </w:r>
      <w:r w:rsidRPr="678C4D00">
        <w:rPr>
          <w:rStyle w:val="eop"/>
          <w:rFonts w:asciiTheme="minorHAnsi" w:hAnsiTheme="minorHAnsi" w:cstheme="minorBidi"/>
          <w:sz w:val="22"/>
          <w:szCs w:val="22"/>
        </w:rPr>
        <w:t> </w:t>
      </w:r>
    </w:p>
    <w:p w14:paraId="475C5CCE" w14:textId="50F85231" w:rsidR="00136A88" w:rsidRDefault="00136A88" w:rsidP="3100BBC2">
      <w:pPr>
        <w:pStyle w:val="paragraph"/>
        <w:spacing w:before="0" w:beforeAutospacing="0" w:after="160" w:afterAutospacing="0"/>
        <w:ind w:left="357"/>
        <w:rPr>
          <w:rStyle w:val="normaltextrun"/>
          <w:rFonts w:asciiTheme="minorHAnsi" w:hAnsiTheme="minorHAnsi" w:cstheme="minorBidi"/>
          <w:sz w:val="22"/>
          <w:szCs w:val="22"/>
        </w:rPr>
      </w:pPr>
      <w:r w:rsidRPr="3100BBC2">
        <w:rPr>
          <w:rStyle w:val="normaltextrun"/>
          <w:rFonts w:asciiTheme="minorHAnsi" w:hAnsiTheme="minorHAnsi" w:cstheme="minorBidi"/>
          <w:sz w:val="22"/>
          <w:szCs w:val="22"/>
        </w:rPr>
        <w:t>The practice should</w:t>
      </w:r>
      <w:r w:rsidR="00934F58" w:rsidRPr="3100BBC2">
        <w:rPr>
          <w:rStyle w:val="normaltextrun"/>
          <w:rFonts w:asciiTheme="minorHAnsi" w:hAnsiTheme="minorHAnsi" w:cstheme="minorBidi"/>
          <w:sz w:val="22"/>
          <w:szCs w:val="22"/>
        </w:rPr>
        <w:t xml:space="preserve"> arrange a review of </w:t>
      </w:r>
      <w:r w:rsidR="00B66145" w:rsidRPr="3100BBC2">
        <w:rPr>
          <w:rStyle w:val="normaltextrun"/>
          <w:rFonts w:asciiTheme="minorHAnsi" w:hAnsiTheme="minorHAnsi" w:cstheme="minorBidi"/>
          <w:sz w:val="22"/>
          <w:szCs w:val="22"/>
        </w:rPr>
        <w:t xml:space="preserve">the </w:t>
      </w:r>
      <w:r w:rsidR="00934F58" w:rsidRPr="3100BBC2">
        <w:rPr>
          <w:rStyle w:val="normaltextrun"/>
          <w:rFonts w:asciiTheme="minorHAnsi" w:hAnsiTheme="minorHAnsi" w:cstheme="minorBidi"/>
          <w:sz w:val="22"/>
          <w:szCs w:val="22"/>
        </w:rPr>
        <w:t>patient at 6 and 12 months after starting LCD programme with repeat HbA1c and further medication adjustments as necessary.</w:t>
      </w:r>
    </w:p>
    <w:p w14:paraId="76CC8C9B" w14:textId="76D8BC6A" w:rsidR="00864979" w:rsidRPr="00743E9B" w:rsidRDefault="00934F58" w:rsidP="678C4D00">
      <w:pPr>
        <w:pStyle w:val="paragraph"/>
        <w:numPr>
          <w:ilvl w:val="0"/>
          <w:numId w:val="1"/>
        </w:numPr>
        <w:spacing w:before="0" w:beforeAutospacing="0" w:after="160" w:afterAutospacing="0"/>
        <w:textAlignment w:val="baseline"/>
        <w:rPr>
          <w:rFonts w:asciiTheme="minorHAnsi" w:hAnsiTheme="minorHAnsi" w:cstheme="minorBidi"/>
          <w:sz w:val="22"/>
          <w:szCs w:val="22"/>
        </w:rPr>
      </w:pPr>
      <w:r w:rsidRPr="678C4D00">
        <w:rPr>
          <w:rFonts w:asciiTheme="minorHAnsi" w:hAnsiTheme="minorHAnsi" w:cstheme="minorBidi"/>
          <w:b/>
          <w:bCs/>
          <w:sz w:val="22"/>
          <w:szCs w:val="22"/>
        </w:rPr>
        <w:t>Once a patient has been referred, if suitable, how long does it take to start the programme?</w:t>
      </w:r>
      <w:r w:rsidRPr="678C4D00">
        <w:rPr>
          <w:rFonts w:asciiTheme="minorHAnsi" w:hAnsiTheme="minorHAnsi" w:cstheme="minorBidi"/>
          <w:sz w:val="22"/>
          <w:szCs w:val="22"/>
        </w:rPr>
        <w:t> </w:t>
      </w:r>
    </w:p>
    <w:p w14:paraId="2117F9E9" w14:textId="1650592D" w:rsidR="00934F58" w:rsidRPr="00743E9B" w:rsidRDefault="00B66145" w:rsidP="00B20A32">
      <w:pPr>
        <w:spacing w:line="240" w:lineRule="auto"/>
        <w:ind w:left="357"/>
        <w:textAlignment w:val="baseline"/>
        <w:rPr>
          <w:rFonts w:eastAsia="Times New Roman" w:cstheme="minorHAnsi"/>
          <w:lang w:eastAsia="en-GB"/>
        </w:rPr>
      </w:pPr>
      <w:r>
        <w:rPr>
          <w:rFonts w:eastAsia="Times New Roman" w:cstheme="minorHAnsi"/>
          <w:lang w:eastAsia="en-GB"/>
        </w:rPr>
        <w:t>The service provider will</w:t>
      </w:r>
      <w:r w:rsidR="00934F58" w:rsidRPr="00743E9B">
        <w:rPr>
          <w:rFonts w:eastAsia="Times New Roman" w:cstheme="minorHAnsi"/>
          <w:lang w:eastAsia="en-GB"/>
        </w:rPr>
        <w:t xml:space="preserve"> contact </w:t>
      </w:r>
      <w:r w:rsidR="0081306E">
        <w:rPr>
          <w:rFonts w:eastAsia="Times New Roman" w:cstheme="minorHAnsi"/>
          <w:lang w:eastAsia="en-GB"/>
        </w:rPr>
        <w:t xml:space="preserve">the patient </w:t>
      </w:r>
      <w:r w:rsidR="00934F58" w:rsidRPr="00743E9B">
        <w:rPr>
          <w:rFonts w:eastAsia="Times New Roman" w:cstheme="minorHAnsi"/>
          <w:lang w:eastAsia="en-GB"/>
        </w:rPr>
        <w:t>within 5 working days. The patient must have their Initial Assessment within 90 days of being referred. The patient will begin the programme within 2-6 weeks from their Initial Assessment; this allows time to order self-monitoring kits and TDR products. If patient doesn’t attend the first session within 6 months of referral they are discharged.  Our aim is to have patients begin the programme as quickly as possible but also offer flexibility to make sure it is the right time.  </w:t>
      </w:r>
    </w:p>
    <w:p w14:paraId="780C04BC" w14:textId="087E28A9" w:rsidR="00A12B52" w:rsidRPr="00743E9B" w:rsidRDefault="00A12B52" w:rsidP="678C4D00">
      <w:pPr>
        <w:pStyle w:val="ListParagraph"/>
        <w:numPr>
          <w:ilvl w:val="0"/>
          <w:numId w:val="1"/>
        </w:numPr>
        <w:spacing w:line="240" w:lineRule="auto"/>
        <w:ind w:left="357" w:hanging="357"/>
        <w:textAlignment w:val="baseline"/>
        <w:rPr>
          <w:rFonts w:eastAsia="Times New Roman"/>
          <w:lang w:eastAsia="en-GB"/>
        </w:rPr>
      </w:pPr>
      <w:r w:rsidRPr="678C4D00">
        <w:rPr>
          <w:rFonts w:eastAsia="Times New Roman"/>
          <w:b/>
          <w:bCs/>
          <w:lang w:eastAsia="en-GB"/>
        </w:rPr>
        <w:t>Can people do the programme more than once?</w:t>
      </w:r>
      <w:r w:rsidRPr="678C4D00">
        <w:rPr>
          <w:rFonts w:eastAsia="Times New Roman"/>
          <w:lang w:eastAsia="en-GB"/>
        </w:rPr>
        <w:t> </w:t>
      </w:r>
    </w:p>
    <w:p w14:paraId="001EAAB2" w14:textId="77777777" w:rsidR="00A12B52" w:rsidRPr="00743E9B" w:rsidRDefault="00A12B52" w:rsidP="0035700B">
      <w:pPr>
        <w:ind w:left="357"/>
        <w:rPr>
          <w:lang w:eastAsia="en-GB"/>
        </w:rPr>
      </w:pPr>
      <w:r w:rsidRPr="00743E9B">
        <w:rPr>
          <w:lang w:eastAsia="en-GB"/>
        </w:rPr>
        <w:lastRenderedPageBreak/>
        <w:t>Patients are not recommended to repeat the programme. The programme is designed to empower patients to lose weight and maintain their weight loss in the long term.  Repeating the programme more than once, would mean going through TDR multiple times and we would like to avoid weight cycling and reliance on the shakes.   </w:t>
      </w:r>
    </w:p>
    <w:p w14:paraId="03F6401B" w14:textId="77777777" w:rsidR="00AD5805" w:rsidRDefault="00F553AF" w:rsidP="00AD5805">
      <w:pPr>
        <w:pStyle w:val="ListParagraph"/>
        <w:spacing w:line="240" w:lineRule="auto"/>
        <w:ind w:left="357"/>
        <w:textAlignment w:val="baseline"/>
        <w:rPr>
          <w:rFonts w:eastAsia="Times New Roman"/>
          <w:lang w:eastAsia="en-GB"/>
        </w:rPr>
      </w:pPr>
      <w:r w:rsidRPr="3100BBC2">
        <w:rPr>
          <w:rFonts w:eastAsia="Times New Roman"/>
          <w:lang w:eastAsia="en-GB"/>
        </w:rPr>
        <w:t>The service provider has</w:t>
      </w:r>
      <w:r w:rsidR="00A12B52" w:rsidRPr="3100BBC2">
        <w:rPr>
          <w:rFonts w:eastAsia="Times New Roman"/>
          <w:lang w:eastAsia="en-GB"/>
        </w:rPr>
        <w:t xml:space="preserve"> put in place a system whereby </w:t>
      </w:r>
      <w:r w:rsidR="00B37952" w:rsidRPr="3100BBC2">
        <w:rPr>
          <w:rFonts w:eastAsia="Times New Roman"/>
          <w:lang w:eastAsia="en-GB"/>
        </w:rPr>
        <w:t>they</w:t>
      </w:r>
      <w:r w:rsidR="00A12B52" w:rsidRPr="3100BBC2">
        <w:rPr>
          <w:rFonts w:eastAsia="Times New Roman"/>
          <w:lang w:eastAsia="en-GB"/>
        </w:rPr>
        <w:t xml:space="preserve"> are able to reject more than 1 referral per patient.  </w:t>
      </w:r>
    </w:p>
    <w:p w14:paraId="1786B507" w14:textId="77777777" w:rsidR="00AD5805" w:rsidRDefault="00AD5805" w:rsidP="00AD5805">
      <w:pPr>
        <w:pStyle w:val="ListParagraph"/>
        <w:spacing w:line="240" w:lineRule="auto"/>
        <w:ind w:left="357"/>
        <w:textAlignment w:val="baseline"/>
        <w:rPr>
          <w:rFonts w:eastAsia="Times New Roman"/>
          <w:lang w:eastAsia="en-GB"/>
        </w:rPr>
      </w:pPr>
    </w:p>
    <w:p w14:paraId="6E6314A6" w14:textId="36F31E10" w:rsidR="6A037720" w:rsidRPr="00AD5805" w:rsidRDefault="6A037720" w:rsidP="00AD5805">
      <w:pPr>
        <w:pStyle w:val="ListParagraph"/>
        <w:numPr>
          <w:ilvl w:val="0"/>
          <w:numId w:val="1"/>
        </w:numPr>
        <w:spacing w:line="240" w:lineRule="auto"/>
        <w:textAlignment w:val="baseline"/>
        <w:rPr>
          <w:rFonts w:eastAsia="Times New Roman" w:cstheme="minorHAnsi"/>
          <w:b/>
          <w:lang w:eastAsia="en-GB"/>
        </w:rPr>
      </w:pPr>
      <w:r w:rsidRPr="00AD5805">
        <w:rPr>
          <w:rFonts w:eastAsia="Times New Roman"/>
          <w:b/>
          <w:lang w:eastAsia="en-GB"/>
        </w:rPr>
        <w:t>Can the patient be referred more than once</w:t>
      </w:r>
      <w:r w:rsidR="00AD5805" w:rsidRPr="00AD5805">
        <w:rPr>
          <w:rFonts w:eastAsia="Times New Roman"/>
          <w:b/>
          <w:lang w:eastAsia="en-GB"/>
        </w:rPr>
        <w:t>?</w:t>
      </w:r>
    </w:p>
    <w:p w14:paraId="4969DEA7" w14:textId="5FABBDA6" w:rsidR="6A037720" w:rsidRPr="00AD5805" w:rsidRDefault="00AD5805" w:rsidP="3100BBC2">
      <w:pPr>
        <w:pStyle w:val="ListParagraph"/>
        <w:spacing w:line="240" w:lineRule="auto"/>
        <w:ind w:left="357"/>
        <w:rPr>
          <w:rFonts w:eastAsia="Times New Roman"/>
          <w:lang w:eastAsia="en-GB"/>
        </w:rPr>
      </w:pPr>
      <w:r>
        <w:rPr>
          <w:rFonts w:eastAsia="Times New Roman"/>
          <w:lang w:eastAsia="en-GB"/>
        </w:rPr>
        <w:t>The</w:t>
      </w:r>
      <w:r w:rsidR="6A037720" w:rsidRPr="00AD5805">
        <w:rPr>
          <w:rFonts w:eastAsia="Times New Roman"/>
          <w:lang w:eastAsia="en-GB"/>
        </w:rPr>
        <w:t xml:space="preserve"> patient can be referred more than once if they did not previously meet the criteria and their situation has now changed to meet the criteria. </w:t>
      </w:r>
    </w:p>
    <w:p w14:paraId="5F4A3260" w14:textId="77777777" w:rsidR="00A12B52" w:rsidRPr="00743E9B" w:rsidRDefault="00A12B52" w:rsidP="00B20A32">
      <w:pPr>
        <w:pStyle w:val="ListParagraph"/>
        <w:spacing w:line="240" w:lineRule="auto"/>
        <w:ind w:left="357" w:hanging="357"/>
        <w:textAlignment w:val="baseline"/>
        <w:rPr>
          <w:rFonts w:eastAsia="Times New Roman" w:cstheme="minorHAnsi"/>
          <w:lang w:eastAsia="en-GB"/>
        </w:rPr>
      </w:pPr>
    </w:p>
    <w:p w14:paraId="3C7B71F4" w14:textId="64D2F461" w:rsidR="00A12B52" w:rsidRPr="00743E9B" w:rsidRDefault="00A12B52" w:rsidP="678C4D00">
      <w:pPr>
        <w:pStyle w:val="ListParagraph"/>
        <w:numPr>
          <w:ilvl w:val="0"/>
          <w:numId w:val="1"/>
        </w:numPr>
        <w:spacing w:line="240" w:lineRule="auto"/>
        <w:ind w:left="357" w:hanging="357"/>
        <w:textAlignment w:val="baseline"/>
        <w:rPr>
          <w:rFonts w:eastAsia="Times New Roman"/>
          <w:b/>
          <w:bCs/>
          <w:lang w:eastAsia="en-GB"/>
        </w:rPr>
      </w:pPr>
      <w:r w:rsidRPr="678C4D00">
        <w:rPr>
          <w:rFonts w:eastAsia="Times New Roman"/>
          <w:b/>
          <w:bCs/>
          <w:lang w:eastAsia="en-GB"/>
        </w:rPr>
        <w:t>Can a patient be referred who has had bariatric surgery?</w:t>
      </w:r>
    </w:p>
    <w:p w14:paraId="40585928" w14:textId="017ADC97" w:rsidR="00A12B52" w:rsidRPr="00743E9B" w:rsidRDefault="00A12B52" w:rsidP="00CB62FE">
      <w:pPr>
        <w:ind w:left="357"/>
        <w:rPr>
          <w:lang w:eastAsia="en-GB"/>
        </w:rPr>
      </w:pPr>
      <w:r w:rsidRPr="00743E9B">
        <w:rPr>
          <w:lang w:eastAsia="en-GB"/>
        </w:rPr>
        <w:t xml:space="preserve">Since the type of bariatric surgery performed and outcomes are unique for each patient, the local referring clinician and clinical lead for the site will need to come to a decision on the appropriateness of referral of these individuals based on the eligibility and individual circumstances (for example has the individual had successful bariatric surgery or has the surgery failed or been reversed). In any case, you will need to ensure these referrals have been made consciously following full consideration of all the eligibility criteria. </w:t>
      </w:r>
    </w:p>
    <w:p w14:paraId="7E60B76B" w14:textId="77777777" w:rsidR="00864979" w:rsidRPr="00743E9B" w:rsidRDefault="00864979" w:rsidP="678C4D00">
      <w:pPr>
        <w:pStyle w:val="ListParagraph"/>
        <w:numPr>
          <w:ilvl w:val="0"/>
          <w:numId w:val="1"/>
        </w:numPr>
        <w:rPr>
          <w:b/>
          <w:bCs/>
        </w:rPr>
      </w:pPr>
      <w:r w:rsidRPr="678C4D00">
        <w:rPr>
          <w:b/>
          <w:bCs/>
        </w:rPr>
        <w:t>Can primary care clinicians have access to the app to help support conversations with patients about what the service will look like/offer?</w:t>
      </w:r>
    </w:p>
    <w:p w14:paraId="1F28CB63" w14:textId="77777777" w:rsidR="00864979" w:rsidRPr="00743E9B" w:rsidRDefault="00864979" w:rsidP="3100BBC2">
      <w:pPr>
        <w:ind w:left="360"/>
      </w:pPr>
      <w:r w:rsidRPr="3100BBC2">
        <w:t>Yes.</w:t>
      </w:r>
      <w:r w:rsidRPr="3100BBC2">
        <w:rPr>
          <w:color w:val="000000"/>
          <w:shd w:val="clear" w:color="auto" w:fill="FFFFFF"/>
        </w:rPr>
        <w:t xml:space="preserve"> </w:t>
      </w:r>
      <w:r w:rsidRPr="3100BBC2">
        <w:rPr>
          <w:rStyle w:val="normaltextrun"/>
          <w:color w:val="000000"/>
          <w:shd w:val="clear" w:color="auto" w:fill="FFFFFF"/>
        </w:rPr>
        <w:t>We will soon be providing a trial login for practices but there is also lots of information available on our website and the marketing and engagement websites.</w:t>
      </w:r>
      <w:r w:rsidRPr="3100BBC2">
        <w:rPr>
          <w:rStyle w:val="eop"/>
          <w:color w:val="000000"/>
          <w:shd w:val="clear" w:color="auto" w:fill="FFFFFF"/>
        </w:rPr>
        <w:t> </w:t>
      </w:r>
    </w:p>
    <w:p w14:paraId="029A3909" w14:textId="78ED3906" w:rsidR="001321EC" w:rsidRPr="00A56B5C" w:rsidRDefault="001321EC" w:rsidP="00B20A32">
      <w:pPr>
        <w:rPr>
          <w:rFonts w:cstheme="minorHAnsi"/>
          <w:b/>
          <w:bCs/>
          <w:sz w:val="28"/>
          <w:szCs w:val="28"/>
        </w:rPr>
      </w:pPr>
      <w:r w:rsidRPr="00A56B5C">
        <w:rPr>
          <w:rFonts w:cstheme="minorHAnsi"/>
          <w:b/>
          <w:bCs/>
          <w:sz w:val="28"/>
          <w:szCs w:val="28"/>
        </w:rPr>
        <w:t>Total Diet Replacement (TDR) Products</w:t>
      </w:r>
    </w:p>
    <w:p w14:paraId="2C8BFC09" w14:textId="6A25A8C3" w:rsidR="00541F90" w:rsidRDefault="00EC4802" w:rsidP="678C4D00">
      <w:pPr>
        <w:pStyle w:val="ListParagraph"/>
        <w:numPr>
          <w:ilvl w:val="0"/>
          <w:numId w:val="1"/>
        </w:numPr>
        <w:ind w:left="426"/>
        <w:rPr>
          <w:b/>
          <w:bCs/>
        </w:rPr>
      </w:pPr>
      <w:r w:rsidRPr="678C4D00">
        <w:rPr>
          <w:b/>
          <w:bCs/>
        </w:rPr>
        <w:t xml:space="preserve">What is the patient </w:t>
      </w:r>
      <w:r w:rsidR="00490D11" w:rsidRPr="678C4D00">
        <w:rPr>
          <w:b/>
          <w:bCs/>
        </w:rPr>
        <w:t xml:space="preserve">consuming </w:t>
      </w:r>
      <w:r w:rsidRPr="678C4D00">
        <w:rPr>
          <w:b/>
          <w:bCs/>
        </w:rPr>
        <w:t>on the programme?  </w:t>
      </w:r>
    </w:p>
    <w:p w14:paraId="3261B7D0" w14:textId="223891EF" w:rsidR="00EC4802" w:rsidRDefault="00B570A9" w:rsidP="002F4014">
      <w:pPr>
        <w:ind w:left="426"/>
      </w:pPr>
      <w:r>
        <w:t>During the Total Diet Replacement</w:t>
      </w:r>
      <w:r w:rsidR="007C74D5">
        <w:t xml:space="preserve"> stage, t</w:t>
      </w:r>
      <w:r>
        <w:t>he patient will consume specially designed products in the form of shakes or soups, instead of the patient’s usual meals</w:t>
      </w:r>
      <w:r w:rsidR="000740C6">
        <w:t xml:space="preserve"> for 12 weeks.</w:t>
      </w:r>
      <w:r w:rsidR="008C7E08">
        <w:t xml:space="preserve"> </w:t>
      </w:r>
      <w:r w:rsidR="006F4618">
        <w:t>Shakes are available i</w:t>
      </w:r>
      <w:r w:rsidR="00E24406">
        <w:t xml:space="preserve">n 4 flavours: banana, chocolate, strawberry and vanilla. </w:t>
      </w:r>
      <w:r w:rsidR="00042978">
        <w:t xml:space="preserve">Two soup flavours are provided: vegetable and chicken. </w:t>
      </w:r>
      <w:r w:rsidR="00E74F70">
        <w:t xml:space="preserve">All products </w:t>
      </w:r>
      <w:proofErr w:type="gramStart"/>
      <w:r w:rsidR="00E74F70">
        <w:t>are  gluten</w:t>
      </w:r>
      <w:proofErr w:type="gramEnd"/>
      <w:r w:rsidR="00E74F70">
        <w:t xml:space="preserve">-free. </w:t>
      </w:r>
      <w:r>
        <w:t xml:space="preserve">The TDR products are nutritionally </w:t>
      </w:r>
      <w:proofErr w:type="gramStart"/>
      <w:r>
        <w:t>complete</w:t>
      </w:r>
      <w:proofErr w:type="gramEnd"/>
      <w:r w:rsidR="007D55FF">
        <w:t xml:space="preserve"> and each product provides approximate 200</w:t>
      </w:r>
      <w:r w:rsidR="006F4618">
        <w:t xml:space="preserve"> </w:t>
      </w:r>
      <w:r w:rsidR="007D55FF">
        <w:t>k</w:t>
      </w:r>
      <w:r w:rsidR="006F4618">
        <w:t>cal</w:t>
      </w:r>
      <w:r w:rsidR="004C58E6">
        <w:t xml:space="preserve">. </w:t>
      </w:r>
      <w:r>
        <w:t xml:space="preserve">If patients struggle during </w:t>
      </w:r>
      <w:r w:rsidR="002147D3">
        <w:t xml:space="preserve">the TDR </w:t>
      </w:r>
      <w:r>
        <w:t>stage</w:t>
      </w:r>
      <w:r w:rsidR="002147D3">
        <w:t>,</w:t>
      </w:r>
      <w:r>
        <w:t xml:space="preserve"> they may also include non-starchy vegetables at any time of the day, in any amount</w:t>
      </w:r>
      <w:r w:rsidR="004C58E6">
        <w:t>.</w:t>
      </w:r>
      <w:r w:rsidR="002147D3">
        <w:t xml:space="preserve"> </w:t>
      </w:r>
      <w:r>
        <w:t>All beverages must be calorie free,</w:t>
      </w:r>
      <w:r w:rsidR="002147D3">
        <w:t xml:space="preserve"> i.e. </w:t>
      </w:r>
      <w:r>
        <w:t xml:space="preserve"> no sugar containing drinks, no milk in tea or coffee</w:t>
      </w:r>
      <w:r w:rsidR="00D461AB">
        <w:t>,</w:t>
      </w:r>
      <w:r>
        <w:t xml:space="preserve"> and no alcohol.  </w:t>
      </w:r>
      <w:r w:rsidR="00EC3A62">
        <w:t xml:space="preserve"> </w:t>
      </w:r>
      <w:r w:rsidR="000629D0">
        <w:t>Full</w:t>
      </w:r>
      <w:r w:rsidR="008530CE">
        <w:t xml:space="preserve"> nutri</w:t>
      </w:r>
      <w:r w:rsidR="0014574C">
        <w:t>ti</w:t>
      </w:r>
      <w:r w:rsidR="008530CE">
        <w:t xml:space="preserve">onal information on the TDR products is available </w:t>
      </w:r>
      <w:r w:rsidR="003D3E67">
        <w:t xml:space="preserve">at: </w:t>
      </w:r>
      <w:hyperlink r:id="rId12">
        <w:r w:rsidR="00CA5880" w:rsidRPr="0BCDA1CB">
          <w:rPr>
            <w:rStyle w:val="Hyperlink"/>
          </w:rPr>
          <w:t>https://nualtra.com/media/wy5n1a0p/altralifeallproducts.pdf</w:t>
        </w:r>
      </w:hyperlink>
    </w:p>
    <w:p w14:paraId="3FE5B551" w14:textId="37A5D7D5" w:rsidR="009248BC" w:rsidRPr="008E7645" w:rsidRDefault="009248BC" w:rsidP="678C4D00">
      <w:pPr>
        <w:pStyle w:val="ListParagraph"/>
        <w:numPr>
          <w:ilvl w:val="0"/>
          <w:numId w:val="1"/>
        </w:numPr>
        <w:ind w:left="426"/>
        <w:rPr>
          <w:b/>
          <w:bCs/>
        </w:rPr>
      </w:pPr>
      <w:r w:rsidRPr="678C4D00">
        <w:rPr>
          <w:b/>
          <w:bCs/>
        </w:rPr>
        <w:t xml:space="preserve">Can patients who have specific allergies to the soups and shakes take part in the programme? </w:t>
      </w:r>
    </w:p>
    <w:p w14:paraId="6A69B3FF" w14:textId="4CE7C1DA" w:rsidR="009248BC" w:rsidRPr="008E7645" w:rsidRDefault="00A137D1" w:rsidP="00B20A32">
      <w:pPr>
        <w:ind w:left="360"/>
        <w:rPr>
          <w:rFonts w:cstheme="minorHAnsi"/>
        </w:rPr>
      </w:pPr>
      <w:r w:rsidRPr="3100BBC2">
        <w:t>If p</w:t>
      </w:r>
      <w:r w:rsidR="00CA5880" w:rsidRPr="3100BBC2">
        <w:t xml:space="preserve">atients are lactose </w:t>
      </w:r>
      <w:r w:rsidRPr="3100BBC2">
        <w:t>intolerant or are</w:t>
      </w:r>
      <w:r w:rsidR="009248BC" w:rsidRPr="3100BBC2">
        <w:t xml:space="preserve"> allergic to </w:t>
      </w:r>
      <w:r w:rsidR="003E23FA" w:rsidRPr="3100BBC2">
        <w:t xml:space="preserve">any of </w:t>
      </w:r>
      <w:r w:rsidR="009248BC" w:rsidRPr="3100BBC2">
        <w:t>the ingredients, unfortunately they would not be able to take the products and would be excluded. We don't yet have alternatives to the current products but will continue to explore other options.</w:t>
      </w:r>
    </w:p>
    <w:p w14:paraId="15E0FE98" w14:textId="3EADC32F" w:rsidR="111CAC70" w:rsidRPr="001968A2" w:rsidRDefault="001968A2" w:rsidP="001968A2">
      <w:pPr>
        <w:pStyle w:val="ListParagraph"/>
        <w:numPr>
          <w:ilvl w:val="0"/>
          <w:numId w:val="1"/>
        </w:numPr>
        <w:rPr>
          <w:b/>
        </w:rPr>
      </w:pPr>
      <w:r w:rsidRPr="001968A2">
        <w:rPr>
          <w:b/>
        </w:rPr>
        <w:t>Are the TDR products</w:t>
      </w:r>
      <w:r w:rsidR="111CAC70" w:rsidRPr="001968A2">
        <w:rPr>
          <w:b/>
        </w:rPr>
        <w:t xml:space="preserve"> suitable for vegetarians and vegans?</w:t>
      </w:r>
    </w:p>
    <w:p w14:paraId="7638038B" w14:textId="6DDD116D" w:rsidR="111CAC70" w:rsidRPr="001968A2" w:rsidRDefault="001968A2" w:rsidP="3100BBC2">
      <w:pPr>
        <w:ind w:left="360"/>
      </w:pPr>
      <w:r w:rsidRPr="001968A2">
        <w:t>The products are</w:t>
      </w:r>
      <w:r w:rsidR="111CAC70" w:rsidRPr="001968A2">
        <w:t xml:space="preserve"> suitable for vegetarians but not for vegans </w:t>
      </w:r>
    </w:p>
    <w:p w14:paraId="41CC7D6D" w14:textId="77777777" w:rsidR="00C43624" w:rsidRPr="008E7645" w:rsidRDefault="00C43624" w:rsidP="678C4D00">
      <w:pPr>
        <w:pStyle w:val="ListParagraph"/>
        <w:numPr>
          <w:ilvl w:val="0"/>
          <w:numId w:val="1"/>
        </w:numPr>
        <w:spacing w:line="240" w:lineRule="auto"/>
        <w:ind w:left="357" w:hanging="357"/>
        <w:rPr>
          <w:rFonts w:eastAsia="Times New Roman"/>
          <w:b/>
          <w:bCs/>
          <w:lang w:eastAsia="en-GB"/>
        </w:rPr>
      </w:pPr>
      <w:r w:rsidRPr="678C4D00">
        <w:rPr>
          <w:rFonts w:eastAsia="Times New Roman"/>
          <w:b/>
          <w:bCs/>
          <w:lang w:eastAsia="en-GB"/>
        </w:rPr>
        <w:t xml:space="preserve">What fibre supplementation is provided? </w:t>
      </w:r>
    </w:p>
    <w:p w14:paraId="2DE7D99A" w14:textId="3293C2EF" w:rsidR="00C43624" w:rsidRPr="008E7645" w:rsidRDefault="00C43624" w:rsidP="00B20A32">
      <w:pPr>
        <w:spacing w:line="240" w:lineRule="auto"/>
        <w:ind w:left="357"/>
        <w:rPr>
          <w:rFonts w:eastAsia="Times New Roman" w:cstheme="minorHAnsi"/>
          <w:lang w:eastAsia="en-GB"/>
        </w:rPr>
      </w:pPr>
      <w:r w:rsidRPr="008E7645">
        <w:rPr>
          <w:rFonts w:eastAsia="Times New Roman" w:cstheme="minorHAnsi"/>
          <w:lang w:eastAsia="en-GB"/>
        </w:rPr>
        <w:lastRenderedPageBreak/>
        <w:t>The fibre is psyllium husk. Service Users are advised to have a total of 9g/day. 2 x servings of 4.5g sachets mixed in 250 ml water.</w:t>
      </w:r>
    </w:p>
    <w:p w14:paraId="3BD6C452" w14:textId="77777777" w:rsidR="00CE62BB" w:rsidRPr="008E7645" w:rsidRDefault="00CE62BB" w:rsidP="678C4D00">
      <w:pPr>
        <w:pStyle w:val="ListParagraph"/>
        <w:numPr>
          <w:ilvl w:val="0"/>
          <w:numId w:val="1"/>
        </w:numPr>
        <w:ind w:left="426"/>
        <w:rPr>
          <w:b/>
          <w:bCs/>
        </w:rPr>
      </w:pPr>
      <w:r w:rsidRPr="678C4D00">
        <w:rPr>
          <w:b/>
          <w:bCs/>
        </w:rPr>
        <w:t>Can patients consume alcohol while they take part in the programme?</w:t>
      </w:r>
    </w:p>
    <w:p w14:paraId="39364B0A" w14:textId="20EF1F1E" w:rsidR="00CE62BB" w:rsidRPr="008E7645" w:rsidRDefault="00CE62BB" w:rsidP="00B20A32">
      <w:pPr>
        <w:spacing w:line="240" w:lineRule="auto"/>
        <w:ind w:left="426"/>
        <w:rPr>
          <w:rFonts w:eastAsia="Times New Roman" w:cstheme="minorHAnsi"/>
          <w:lang w:eastAsia="en-GB"/>
        </w:rPr>
      </w:pPr>
      <w:r w:rsidRPr="008E7645">
        <w:rPr>
          <w:rFonts w:eastAsia="Times New Roman" w:cstheme="minorHAnsi"/>
          <w:lang w:eastAsia="en-GB"/>
        </w:rPr>
        <w:t>During the 12-week total diet replacement phase, patients should not consume alcohol; during this period, patients should only be consuming the 4 total diet replacement products provided.</w:t>
      </w:r>
    </w:p>
    <w:p w14:paraId="3E726570" w14:textId="77777777" w:rsidR="0039731E" w:rsidRPr="008E7645" w:rsidRDefault="0039731E" w:rsidP="678C4D00">
      <w:pPr>
        <w:pStyle w:val="ListParagraph"/>
        <w:numPr>
          <w:ilvl w:val="0"/>
          <w:numId w:val="1"/>
        </w:numPr>
        <w:rPr>
          <w:b/>
          <w:bCs/>
          <w:u w:val="single"/>
        </w:rPr>
      </w:pPr>
      <w:r w:rsidRPr="678C4D00">
        <w:rPr>
          <w:b/>
          <w:bCs/>
        </w:rPr>
        <w:t xml:space="preserve">Can the total diet replacement products used in the service also be prescribed by primary care clinicians? </w:t>
      </w:r>
    </w:p>
    <w:p w14:paraId="45AA48E3" w14:textId="77777777" w:rsidR="0039731E" w:rsidRDefault="0039731E" w:rsidP="0039731E">
      <w:pPr>
        <w:ind w:left="360"/>
      </w:pPr>
      <w:r w:rsidRPr="4BBCB726">
        <w:t>No, the total diet replacement products are not available on prescription in primary care. Eligible patients participating in the pilot will receive all products, directly from the provider.</w:t>
      </w:r>
    </w:p>
    <w:p w14:paraId="6C1D4928" w14:textId="05F97CE6" w:rsidR="00653F75" w:rsidRPr="0080363D" w:rsidRDefault="0080363D" w:rsidP="678C4D00">
      <w:pPr>
        <w:pStyle w:val="ListParagraph"/>
        <w:numPr>
          <w:ilvl w:val="0"/>
          <w:numId w:val="1"/>
        </w:numPr>
        <w:rPr>
          <w:b/>
          <w:bCs/>
          <w:u w:val="single"/>
        </w:rPr>
      </w:pPr>
      <w:r w:rsidRPr="678C4D00">
        <w:rPr>
          <w:b/>
          <w:bCs/>
        </w:rPr>
        <w:t>Where can I find more information on the programme?</w:t>
      </w:r>
    </w:p>
    <w:p w14:paraId="4633019C" w14:textId="42605DC1" w:rsidR="0080363D" w:rsidRPr="00653F75" w:rsidRDefault="001E02B8" w:rsidP="0080363D">
      <w:pPr>
        <w:ind w:left="360"/>
      </w:pPr>
      <w:r>
        <w:t xml:space="preserve">Please </w:t>
      </w:r>
      <w:r w:rsidR="005D72B6">
        <w:t>refer</w:t>
      </w:r>
      <w:r w:rsidR="006A2355">
        <w:t xml:space="preserve"> to our website: </w:t>
      </w:r>
      <w:hyperlink r:id="rId13" w:history="1">
        <w:r w:rsidR="0039731E" w:rsidRPr="00080B90">
          <w:rPr>
            <w:rStyle w:val="Hyperlink"/>
          </w:rPr>
          <w:t>https://xylahealthandwellbeing.com/our-services/diabetes-remission/nhs-low-calorie-diet/</w:t>
        </w:r>
      </w:hyperlink>
    </w:p>
    <w:p w14:paraId="05DE95C8" w14:textId="77777777" w:rsidR="00653F75" w:rsidRPr="008E7645" w:rsidRDefault="00653F75" w:rsidP="00B20A32">
      <w:pPr>
        <w:ind w:left="360"/>
        <w:rPr>
          <w:rFonts w:cstheme="minorHAnsi"/>
        </w:rPr>
      </w:pPr>
    </w:p>
    <w:p w14:paraId="26306E0F" w14:textId="221B368D" w:rsidR="4BBCB726" w:rsidRDefault="4BBCB726" w:rsidP="4BBCB726"/>
    <w:p w14:paraId="5D7B4D3F" w14:textId="684B417E" w:rsidR="4BBCB726" w:rsidRDefault="4BBCB726" w:rsidP="4BBCB726">
      <w:pPr>
        <w:rPr>
          <w:rFonts w:ascii="Calibri" w:eastAsia="Calibri" w:hAnsi="Calibri" w:cs="Calibri"/>
          <w:b/>
          <w:bCs/>
          <w:color w:val="000000" w:themeColor="text1"/>
        </w:rPr>
      </w:pPr>
    </w:p>
    <w:sectPr w:rsidR="4BBCB72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CE76" w14:textId="77777777" w:rsidR="00086994" w:rsidRDefault="00086994" w:rsidP="00973458">
      <w:pPr>
        <w:spacing w:after="0" w:line="240" w:lineRule="auto"/>
      </w:pPr>
      <w:r>
        <w:separator/>
      </w:r>
    </w:p>
  </w:endnote>
  <w:endnote w:type="continuationSeparator" w:id="0">
    <w:p w14:paraId="64B2A759" w14:textId="77777777" w:rsidR="00086994" w:rsidRDefault="00086994" w:rsidP="0097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AD929" w14:textId="77777777" w:rsidR="00086994" w:rsidRDefault="00086994" w:rsidP="00973458">
      <w:pPr>
        <w:spacing w:after="0" w:line="240" w:lineRule="auto"/>
      </w:pPr>
      <w:r>
        <w:separator/>
      </w:r>
    </w:p>
  </w:footnote>
  <w:footnote w:type="continuationSeparator" w:id="0">
    <w:p w14:paraId="694C6F0E" w14:textId="77777777" w:rsidR="00086994" w:rsidRDefault="00086994" w:rsidP="00973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6343" w14:textId="4953DAE3" w:rsidR="00973458" w:rsidRDefault="005E6D7F">
    <w:pPr>
      <w:pStyle w:val="Header"/>
    </w:pPr>
    <w:r>
      <w:rPr>
        <w:noProof/>
      </w:rPr>
      <w:drawing>
        <wp:anchor distT="0" distB="0" distL="114300" distR="114300" simplePos="0" relativeHeight="251658240" behindDoc="0" locked="0" layoutInCell="1" allowOverlap="1" wp14:anchorId="3B82505A" wp14:editId="57F70B88">
          <wp:simplePos x="0" y="0"/>
          <wp:positionH relativeFrom="margin">
            <wp:posOffset>4222115</wp:posOffset>
          </wp:positionH>
          <wp:positionV relativeFrom="margin">
            <wp:posOffset>-652145</wp:posOffset>
          </wp:positionV>
          <wp:extent cx="2162175" cy="4470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47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2E7"/>
    <w:multiLevelType w:val="hybridMultilevel"/>
    <w:tmpl w:val="C7F21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675861"/>
    <w:multiLevelType w:val="hybridMultilevel"/>
    <w:tmpl w:val="7F4870E0"/>
    <w:lvl w:ilvl="0" w:tplc="42A41E88">
      <w:start w:val="1"/>
      <w:numFmt w:val="bullet"/>
      <w:lvlText w:val=""/>
      <w:lvlJc w:val="left"/>
      <w:pPr>
        <w:tabs>
          <w:tab w:val="num" w:pos="720"/>
        </w:tabs>
        <w:ind w:left="720" w:hanging="360"/>
      </w:pPr>
      <w:rPr>
        <w:rFonts w:ascii="Symbol" w:hAnsi="Symbol" w:hint="default"/>
        <w:sz w:val="20"/>
      </w:rPr>
    </w:lvl>
    <w:lvl w:ilvl="1" w:tplc="938872F2" w:tentative="1">
      <w:start w:val="1"/>
      <w:numFmt w:val="bullet"/>
      <w:lvlText w:val=""/>
      <w:lvlJc w:val="left"/>
      <w:pPr>
        <w:tabs>
          <w:tab w:val="num" w:pos="1440"/>
        </w:tabs>
        <w:ind w:left="1440" w:hanging="360"/>
      </w:pPr>
      <w:rPr>
        <w:rFonts w:ascii="Symbol" w:hAnsi="Symbol" w:hint="default"/>
        <w:sz w:val="20"/>
      </w:rPr>
    </w:lvl>
    <w:lvl w:ilvl="2" w:tplc="33A0D122" w:tentative="1">
      <w:start w:val="1"/>
      <w:numFmt w:val="bullet"/>
      <w:lvlText w:val=""/>
      <w:lvlJc w:val="left"/>
      <w:pPr>
        <w:tabs>
          <w:tab w:val="num" w:pos="2160"/>
        </w:tabs>
        <w:ind w:left="2160" w:hanging="360"/>
      </w:pPr>
      <w:rPr>
        <w:rFonts w:ascii="Symbol" w:hAnsi="Symbol" w:hint="default"/>
        <w:sz w:val="20"/>
      </w:rPr>
    </w:lvl>
    <w:lvl w:ilvl="3" w:tplc="AF804C20" w:tentative="1">
      <w:start w:val="1"/>
      <w:numFmt w:val="bullet"/>
      <w:lvlText w:val=""/>
      <w:lvlJc w:val="left"/>
      <w:pPr>
        <w:tabs>
          <w:tab w:val="num" w:pos="2880"/>
        </w:tabs>
        <w:ind w:left="2880" w:hanging="360"/>
      </w:pPr>
      <w:rPr>
        <w:rFonts w:ascii="Symbol" w:hAnsi="Symbol" w:hint="default"/>
        <w:sz w:val="20"/>
      </w:rPr>
    </w:lvl>
    <w:lvl w:ilvl="4" w:tplc="E2EAE85C" w:tentative="1">
      <w:start w:val="1"/>
      <w:numFmt w:val="bullet"/>
      <w:lvlText w:val=""/>
      <w:lvlJc w:val="left"/>
      <w:pPr>
        <w:tabs>
          <w:tab w:val="num" w:pos="3600"/>
        </w:tabs>
        <w:ind w:left="3600" w:hanging="360"/>
      </w:pPr>
      <w:rPr>
        <w:rFonts w:ascii="Symbol" w:hAnsi="Symbol" w:hint="default"/>
        <w:sz w:val="20"/>
      </w:rPr>
    </w:lvl>
    <w:lvl w:ilvl="5" w:tplc="9698E6FA" w:tentative="1">
      <w:start w:val="1"/>
      <w:numFmt w:val="bullet"/>
      <w:lvlText w:val=""/>
      <w:lvlJc w:val="left"/>
      <w:pPr>
        <w:tabs>
          <w:tab w:val="num" w:pos="4320"/>
        </w:tabs>
        <w:ind w:left="4320" w:hanging="360"/>
      </w:pPr>
      <w:rPr>
        <w:rFonts w:ascii="Symbol" w:hAnsi="Symbol" w:hint="default"/>
        <w:sz w:val="20"/>
      </w:rPr>
    </w:lvl>
    <w:lvl w:ilvl="6" w:tplc="CC1E27C6" w:tentative="1">
      <w:start w:val="1"/>
      <w:numFmt w:val="bullet"/>
      <w:lvlText w:val=""/>
      <w:lvlJc w:val="left"/>
      <w:pPr>
        <w:tabs>
          <w:tab w:val="num" w:pos="5040"/>
        </w:tabs>
        <w:ind w:left="5040" w:hanging="360"/>
      </w:pPr>
      <w:rPr>
        <w:rFonts w:ascii="Symbol" w:hAnsi="Symbol" w:hint="default"/>
        <w:sz w:val="20"/>
      </w:rPr>
    </w:lvl>
    <w:lvl w:ilvl="7" w:tplc="3FEEDD7A" w:tentative="1">
      <w:start w:val="1"/>
      <w:numFmt w:val="bullet"/>
      <w:lvlText w:val=""/>
      <w:lvlJc w:val="left"/>
      <w:pPr>
        <w:tabs>
          <w:tab w:val="num" w:pos="5760"/>
        </w:tabs>
        <w:ind w:left="5760" w:hanging="360"/>
      </w:pPr>
      <w:rPr>
        <w:rFonts w:ascii="Symbol" w:hAnsi="Symbol" w:hint="default"/>
        <w:sz w:val="20"/>
      </w:rPr>
    </w:lvl>
    <w:lvl w:ilvl="8" w:tplc="2ACC30A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61454B"/>
    <w:multiLevelType w:val="multilevel"/>
    <w:tmpl w:val="2D2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454B9E"/>
    <w:multiLevelType w:val="hybridMultilevel"/>
    <w:tmpl w:val="8064165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773206B0"/>
    <w:multiLevelType w:val="hybridMultilevel"/>
    <w:tmpl w:val="5A666A3C"/>
    <w:lvl w:ilvl="0" w:tplc="6A0A8D7A">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58"/>
    <w:rsid w:val="00042978"/>
    <w:rsid w:val="000629D0"/>
    <w:rsid w:val="000723C3"/>
    <w:rsid w:val="000740C6"/>
    <w:rsid w:val="00083B72"/>
    <w:rsid w:val="0008555C"/>
    <w:rsid w:val="000855DB"/>
    <w:rsid w:val="00086994"/>
    <w:rsid w:val="000A2758"/>
    <w:rsid w:val="000A53D4"/>
    <w:rsid w:val="000B712C"/>
    <w:rsid w:val="001103F2"/>
    <w:rsid w:val="0011534E"/>
    <w:rsid w:val="00120238"/>
    <w:rsid w:val="00122A74"/>
    <w:rsid w:val="001321EC"/>
    <w:rsid w:val="00133111"/>
    <w:rsid w:val="0013344F"/>
    <w:rsid w:val="00136A88"/>
    <w:rsid w:val="00141467"/>
    <w:rsid w:val="0014574C"/>
    <w:rsid w:val="00153CDA"/>
    <w:rsid w:val="00161EDE"/>
    <w:rsid w:val="00181F3E"/>
    <w:rsid w:val="00187A04"/>
    <w:rsid w:val="00191DD8"/>
    <w:rsid w:val="001968A2"/>
    <w:rsid w:val="001C616F"/>
    <w:rsid w:val="001E02B8"/>
    <w:rsid w:val="001E3C05"/>
    <w:rsid w:val="002147D3"/>
    <w:rsid w:val="00217213"/>
    <w:rsid w:val="002215F5"/>
    <w:rsid w:val="002950D0"/>
    <w:rsid w:val="002A1193"/>
    <w:rsid w:val="002A1472"/>
    <w:rsid w:val="002C609F"/>
    <w:rsid w:val="002F4014"/>
    <w:rsid w:val="00303E57"/>
    <w:rsid w:val="003041F6"/>
    <w:rsid w:val="003306F3"/>
    <w:rsid w:val="00343BC4"/>
    <w:rsid w:val="0035700B"/>
    <w:rsid w:val="003574B4"/>
    <w:rsid w:val="00371B45"/>
    <w:rsid w:val="00377FE4"/>
    <w:rsid w:val="003967EE"/>
    <w:rsid w:val="0039731E"/>
    <w:rsid w:val="003A515B"/>
    <w:rsid w:val="003D3E67"/>
    <w:rsid w:val="003D5C57"/>
    <w:rsid w:val="003E0DD1"/>
    <w:rsid w:val="003E23FA"/>
    <w:rsid w:val="003F5F7A"/>
    <w:rsid w:val="00460904"/>
    <w:rsid w:val="004778C0"/>
    <w:rsid w:val="00481380"/>
    <w:rsid w:val="00482DAB"/>
    <w:rsid w:val="004832D1"/>
    <w:rsid w:val="00483C57"/>
    <w:rsid w:val="00490D11"/>
    <w:rsid w:val="004B3619"/>
    <w:rsid w:val="004C210E"/>
    <w:rsid w:val="004C58E6"/>
    <w:rsid w:val="004D1E29"/>
    <w:rsid w:val="00541F90"/>
    <w:rsid w:val="00544056"/>
    <w:rsid w:val="005A47E7"/>
    <w:rsid w:val="005D72B6"/>
    <w:rsid w:val="005D7E40"/>
    <w:rsid w:val="005E6D7F"/>
    <w:rsid w:val="006019B4"/>
    <w:rsid w:val="00630909"/>
    <w:rsid w:val="00634E3C"/>
    <w:rsid w:val="006536AA"/>
    <w:rsid w:val="00653F75"/>
    <w:rsid w:val="00673367"/>
    <w:rsid w:val="00677C45"/>
    <w:rsid w:val="006A2355"/>
    <w:rsid w:val="006A7F62"/>
    <w:rsid w:val="006D4D02"/>
    <w:rsid w:val="006E1403"/>
    <w:rsid w:val="006F3FC0"/>
    <w:rsid w:val="006F4618"/>
    <w:rsid w:val="00700605"/>
    <w:rsid w:val="00714283"/>
    <w:rsid w:val="00714C84"/>
    <w:rsid w:val="00721A0A"/>
    <w:rsid w:val="007273CA"/>
    <w:rsid w:val="0072782C"/>
    <w:rsid w:val="00743E9B"/>
    <w:rsid w:val="00752219"/>
    <w:rsid w:val="00757E55"/>
    <w:rsid w:val="00767BA1"/>
    <w:rsid w:val="00787461"/>
    <w:rsid w:val="00797EAA"/>
    <w:rsid w:val="007A6785"/>
    <w:rsid w:val="007B7353"/>
    <w:rsid w:val="007C74D5"/>
    <w:rsid w:val="007D55FF"/>
    <w:rsid w:val="007D5741"/>
    <w:rsid w:val="007F372E"/>
    <w:rsid w:val="0080363D"/>
    <w:rsid w:val="008049B5"/>
    <w:rsid w:val="0081087C"/>
    <w:rsid w:val="0081306E"/>
    <w:rsid w:val="00815434"/>
    <w:rsid w:val="008173E7"/>
    <w:rsid w:val="00833227"/>
    <w:rsid w:val="008350F2"/>
    <w:rsid w:val="008523F6"/>
    <w:rsid w:val="008530CE"/>
    <w:rsid w:val="00855556"/>
    <w:rsid w:val="00864979"/>
    <w:rsid w:val="00874AF4"/>
    <w:rsid w:val="008752C7"/>
    <w:rsid w:val="00887695"/>
    <w:rsid w:val="008C569E"/>
    <w:rsid w:val="008C7E08"/>
    <w:rsid w:val="008E7645"/>
    <w:rsid w:val="009248BC"/>
    <w:rsid w:val="009269CC"/>
    <w:rsid w:val="00934F58"/>
    <w:rsid w:val="009405C4"/>
    <w:rsid w:val="0095667A"/>
    <w:rsid w:val="0096748E"/>
    <w:rsid w:val="00973458"/>
    <w:rsid w:val="0099385A"/>
    <w:rsid w:val="00A12B52"/>
    <w:rsid w:val="00A137D1"/>
    <w:rsid w:val="00A1792D"/>
    <w:rsid w:val="00A3200F"/>
    <w:rsid w:val="00A456C6"/>
    <w:rsid w:val="00A56B5C"/>
    <w:rsid w:val="00A614EE"/>
    <w:rsid w:val="00A7071C"/>
    <w:rsid w:val="00A74331"/>
    <w:rsid w:val="00A77B91"/>
    <w:rsid w:val="00A84260"/>
    <w:rsid w:val="00AC0708"/>
    <w:rsid w:val="00AC2E1C"/>
    <w:rsid w:val="00AC3623"/>
    <w:rsid w:val="00AD5805"/>
    <w:rsid w:val="00AE1789"/>
    <w:rsid w:val="00AE46BD"/>
    <w:rsid w:val="00AF7BFF"/>
    <w:rsid w:val="00B11AC0"/>
    <w:rsid w:val="00B12CA2"/>
    <w:rsid w:val="00B20A32"/>
    <w:rsid w:val="00B214F4"/>
    <w:rsid w:val="00B21D3F"/>
    <w:rsid w:val="00B37952"/>
    <w:rsid w:val="00B44029"/>
    <w:rsid w:val="00B570A9"/>
    <w:rsid w:val="00B63317"/>
    <w:rsid w:val="00B654A9"/>
    <w:rsid w:val="00B66145"/>
    <w:rsid w:val="00B74ACE"/>
    <w:rsid w:val="00B90D95"/>
    <w:rsid w:val="00B966D9"/>
    <w:rsid w:val="00B96A62"/>
    <w:rsid w:val="00BA4237"/>
    <w:rsid w:val="00BE36E2"/>
    <w:rsid w:val="00BF6EA8"/>
    <w:rsid w:val="00C1052B"/>
    <w:rsid w:val="00C1437B"/>
    <w:rsid w:val="00C17630"/>
    <w:rsid w:val="00C43624"/>
    <w:rsid w:val="00C45C6D"/>
    <w:rsid w:val="00C51B03"/>
    <w:rsid w:val="00C72335"/>
    <w:rsid w:val="00C84B5B"/>
    <w:rsid w:val="00C93DC3"/>
    <w:rsid w:val="00CA5880"/>
    <w:rsid w:val="00CB62FE"/>
    <w:rsid w:val="00CC307E"/>
    <w:rsid w:val="00CD06DF"/>
    <w:rsid w:val="00CE4C77"/>
    <w:rsid w:val="00CE62BB"/>
    <w:rsid w:val="00CE7D0E"/>
    <w:rsid w:val="00D04A60"/>
    <w:rsid w:val="00D27BDD"/>
    <w:rsid w:val="00D44D4B"/>
    <w:rsid w:val="00D461AB"/>
    <w:rsid w:val="00D838C2"/>
    <w:rsid w:val="00D84442"/>
    <w:rsid w:val="00D95C4B"/>
    <w:rsid w:val="00DB7A24"/>
    <w:rsid w:val="00DC5CE9"/>
    <w:rsid w:val="00E14F09"/>
    <w:rsid w:val="00E23BA0"/>
    <w:rsid w:val="00E24406"/>
    <w:rsid w:val="00E465C8"/>
    <w:rsid w:val="00E502BE"/>
    <w:rsid w:val="00E62DDE"/>
    <w:rsid w:val="00E637BC"/>
    <w:rsid w:val="00E67D09"/>
    <w:rsid w:val="00E74F70"/>
    <w:rsid w:val="00E83D8E"/>
    <w:rsid w:val="00E85DFD"/>
    <w:rsid w:val="00EA214E"/>
    <w:rsid w:val="00EA26B6"/>
    <w:rsid w:val="00EA380E"/>
    <w:rsid w:val="00EB3F4F"/>
    <w:rsid w:val="00EC3A62"/>
    <w:rsid w:val="00EC4802"/>
    <w:rsid w:val="00ED5403"/>
    <w:rsid w:val="00EF4A06"/>
    <w:rsid w:val="00F5406D"/>
    <w:rsid w:val="00F553AF"/>
    <w:rsid w:val="00F576C4"/>
    <w:rsid w:val="00FB2699"/>
    <w:rsid w:val="00FD42C2"/>
    <w:rsid w:val="00FD5C87"/>
    <w:rsid w:val="05921CDC"/>
    <w:rsid w:val="0A5945BE"/>
    <w:rsid w:val="0BCDA1CB"/>
    <w:rsid w:val="0E78CEC8"/>
    <w:rsid w:val="10F4B1B0"/>
    <w:rsid w:val="111CAC70"/>
    <w:rsid w:val="198DBA9F"/>
    <w:rsid w:val="19C75C1A"/>
    <w:rsid w:val="1CBD54A9"/>
    <w:rsid w:val="217523B0"/>
    <w:rsid w:val="22F3E04F"/>
    <w:rsid w:val="2506219C"/>
    <w:rsid w:val="28DF5993"/>
    <w:rsid w:val="2C2D4A9F"/>
    <w:rsid w:val="2D5CE80B"/>
    <w:rsid w:val="3100BBC2"/>
    <w:rsid w:val="3489B4C4"/>
    <w:rsid w:val="3698D8EB"/>
    <w:rsid w:val="3F40D1E6"/>
    <w:rsid w:val="405EDA30"/>
    <w:rsid w:val="423142BB"/>
    <w:rsid w:val="43F7CB20"/>
    <w:rsid w:val="475B8B0B"/>
    <w:rsid w:val="4860BBA6"/>
    <w:rsid w:val="49A2496F"/>
    <w:rsid w:val="4BBCB726"/>
    <w:rsid w:val="4D2894AD"/>
    <w:rsid w:val="50D344C0"/>
    <w:rsid w:val="579C8127"/>
    <w:rsid w:val="5A6A8465"/>
    <w:rsid w:val="61A2DD6D"/>
    <w:rsid w:val="6263270C"/>
    <w:rsid w:val="64103D31"/>
    <w:rsid w:val="64AB29FB"/>
    <w:rsid w:val="678C4D00"/>
    <w:rsid w:val="678E409E"/>
    <w:rsid w:val="69B8F610"/>
    <w:rsid w:val="6A037720"/>
    <w:rsid w:val="70C80081"/>
    <w:rsid w:val="73872217"/>
    <w:rsid w:val="762401F9"/>
    <w:rsid w:val="783B36FF"/>
    <w:rsid w:val="79A95E56"/>
    <w:rsid w:val="7AA9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34D5E"/>
  <w15:chartTrackingRefBased/>
  <w15:docId w15:val="{E22E04A8-7F6E-4B1E-ADD6-FD67FB9A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58"/>
    <w:pPr>
      <w:ind w:left="720"/>
      <w:contextualSpacing/>
    </w:pPr>
  </w:style>
  <w:style w:type="paragraph" w:styleId="Header">
    <w:name w:val="header"/>
    <w:basedOn w:val="Normal"/>
    <w:link w:val="HeaderChar"/>
    <w:uiPriority w:val="99"/>
    <w:unhideWhenUsed/>
    <w:rsid w:val="00973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458"/>
  </w:style>
  <w:style w:type="paragraph" w:styleId="Footer">
    <w:name w:val="footer"/>
    <w:basedOn w:val="Normal"/>
    <w:link w:val="FooterChar"/>
    <w:uiPriority w:val="99"/>
    <w:unhideWhenUsed/>
    <w:rsid w:val="00973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458"/>
  </w:style>
  <w:style w:type="character" w:styleId="Hyperlink">
    <w:name w:val="Hyperlink"/>
    <w:basedOn w:val="DefaultParagraphFont"/>
    <w:uiPriority w:val="99"/>
    <w:unhideWhenUsed/>
    <w:rsid w:val="007273CA"/>
    <w:rPr>
      <w:color w:val="0563C1" w:themeColor="hyperlink"/>
      <w:u w:val="single"/>
    </w:rPr>
  </w:style>
  <w:style w:type="paragraph" w:styleId="NormalWeb">
    <w:name w:val="Normal (Web)"/>
    <w:basedOn w:val="Normal"/>
    <w:uiPriority w:val="99"/>
    <w:semiHidden/>
    <w:unhideWhenUsed/>
    <w:rsid w:val="003306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C21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210E"/>
  </w:style>
  <w:style w:type="character" w:customStyle="1" w:styleId="eop">
    <w:name w:val="eop"/>
    <w:basedOn w:val="DefaultParagraphFont"/>
    <w:rsid w:val="004C210E"/>
  </w:style>
  <w:style w:type="character" w:styleId="FollowedHyperlink">
    <w:name w:val="FollowedHyperlink"/>
    <w:basedOn w:val="DefaultParagraphFont"/>
    <w:uiPriority w:val="99"/>
    <w:semiHidden/>
    <w:unhideWhenUsed/>
    <w:rsid w:val="00B214F4"/>
    <w:rPr>
      <w:color w:val="954F72" w:themeColor="followedHyperlink"/>
      <w:u w:val="single"/>
    </w:rPr>
  </w:style>
  <w:style w:type="character" w:styleId="UnresolvedMention">
    <w:name w:val="Unresolved Mention"/>
    <w:basedOn w:val="DefaultParagraphFont"/>
    <w:uiPriority w:val="99"/>
    <w:semiHidden/>
    <w:unhideWhenUsed/>
    <w:rsid w:val="00145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8147">
      <w:bodyDiv w:val="1"/>
      <w:marLeft w:val="0"/>
      <w:marRight w:val="0"/>
      <w:marTop w:val="0"/>
      <w:marBottom w:val="0"/>
      <w:divBdr>
        <w:top w:val="none" w:sz="0" w:space="0" w:color="auto"/>
        <w:left w:val="none" w:sz="0" w:space="0" w:color="auto"/>
        <w:bottom w:val="none" w:sz="0" w:space="0" w:color="auto"/>
        <w:right w:val="none" w:sz="0" w:space="0" w:color="auto"/>
      </w:divBdr>
      <w:divsChild>
        <w:div w:id="1052264304">
          <w:marLeft w:val="0"/>
          <w:marRight w:val="0"/>
          <w:marTop w:val="0"/>
          <w:marBottom w:val="0"/>
          <w:divBdr>
            <w:top w:val="none" w:sz="0" w:space="0" w:color="auto"/>
            <w:left w:val="none" w:sz="0" w:space="0" w:color="auto"/>
            <w:bottom w:val="none" w:sz="0" w:space="0" w:color="auto"/>
            <w:right w:val="none" w:sz="0" w:space="0" w:color="auto"/>
          </w:divBdr>
        </w:div>
        <w:div w:id="567304681">
          <w:marLeft w:val="0"/>
          <w:marRight w:val="0"/>
          <w:marTop w:val="0"/>
          <w:marBottom w:val="0"/>
          <w:divBdr>
            <w:top w:val="none" w:sz="0" w:space="0" w:color="auto"/>
            <w:left w:val="none" w:sz="0" w:space="0" w:color="auto"/>
            <w:bottom w:val="none" w:sz="0" w:space="0" w:color="auto"/>
            <w:right w:val="none" w:sz="0" w:space="0" w:color="auto"/>
          </w:divBdr>
        </w:div>
        <w:div w:id="1082415198">
          <w:marLeft w:val="0"/>
          <w:marRight w:val="0"/>
          <w:marTop w:val="0"/>
          <w:marBottom w:val="0"/>
          <w:divBdr>
            <w:top w:val="none" w:sz="0" w:space="0" w:color="auto"/>
            <w:left w:val="none" w:sz="0" w:space="0" w:color="auto"/>
            <w:bottom w:val="none" w:sz="0" w:space="0" w:color="auto"/>
            <w:right w:val="none" w:sz="0" w:space="0" w:color="auto"/>
          </w:divBdr>
        </w:div>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41263025">
      <w:bodyDiv w:val="1"/>
      <w:marLeft w:val="0"/>
      <w:marRight w:val="0"/>
      <w:marTop w:val="0"/>
      <w:marBottom w:val="0"/>
      <w:divBdr>
        <w:top w:val="none" w:sz="0" w:space="0" w:color="auto"/>
        <w:left w:val="none" w:sz="0" w:space="0" w:color="auto"/>
        <w:bottom w:val="none" w:sz="0" w:space="0" w:color="auto"/>
        <w:right w:val="none" w:sz="0" w:space="0" w:color="auto"/>
      </w:divBdr>
      <w:divsChild>
        <w:div w:id="1875264034">
          <w:marLeft w:val="0"/>
          <w:marRight w:val="0"/>
          <w:marTop w:val="0"/>
          <w:marBottom w:val="0"/>
          <w:divBdr>
            <w:top w:val="none" w:sz="0" w:space="0" w:color="auto"/>
            <w:left w:val="none" w:sz="0" w:space="0" w:color="auto"/>
            <w:bottom w:val="none" w:sz="0" w:space="0" w:color="auto"/>
            <w:right w:val="none" w:sz="0" w:space="0" w:color="auto"/>
          </w:divBdr>
        </w:div>
        <w:div w:id="997270357">
          <w:marLeft w:val="0"/>
          <w:marRight w:val="0"/>
          <w:marTop w:val="0"/>
          <w:marBottom w:val="0"/>
          <w:divBdr>
            <w:top w:val="none" w:sz="0" w:space="0" w:color="auto"/>
            <w:left w:val="none" w:sz="0" w:space="0" w:color="auto"/>
            <w:bottom w:val="none" w:sz="0" w:space="0" w:color="auto"/>
            <w:right w:val="none" w:sz="0" w:space="0" w:color="auto"/>
          </w:divBdr>
        </w:div>
      </w:divsChild>
    </w:div>
    <w:div w:id="247348992">
      <w:bodyDiv w:val="1"/>
      <w:marLeft w:val="0"/>
      <w:marRight w:val="0"/>
      <w:marTop w:val="0"/>
      <w:marBottom w:val="0"/>
      <w:divBdr>
        <w:top w:val="none" w:sz="0" w:space="0" w:color="auto"/>
        <w:left w:val="none" w:sz="0" w:space="0" w:color="auto"/>
        <w:bottom w:val="none" w:sz="0" w:space="0" w:color="auto"/>
        <w:right w:val="none" w:sz="0" w:space="0" w:color="auto"/>
      </w:divBdr>
      <w:divsChild>
        <w:div w:id="78061564">
          <w:marLeft w:val="0"/>
          <w:marRight w:val="0"/>
          <w:marTop w:val="0"/>
          <w:marBottom w:val="0"/>
          <w:divBdr>
            <w:top w:val="none" w:sz="0" w:space="0" w:color="auto"/>
            <w:left w:val="none" w:sz="0" w:space="0" w:color="auto"/>
            <w:bottom w:val="none" w:sz="0" w:space="0" w:color="auto"/>
            <w:right w:val="none" w:sz="0" w:space="0" w:color="auto"/>
          </w:divBdr>
        </w:div>
      </w:divsChild>
    </w:div>
    <w:div w:id="614026509">
      <w:bodyDiv w:val="1"/>
      <w:marLeft w:val="0"/>
      <w:marRight w:val="0"/>
      <w:marTop w:val="0"/>
      <w:marBottom w:val="0"/>
      <w:divBdr>
        <w:top w:val="none" w:sz="0" w:space="0" w:color="auto"/>
        <w:left w:val="none" w:sz="0" w:space="0" w:color="auto"/>
        <w:bottom w:val="none" w:sz="0" w:space="0" w:color="auto"/>
        <w:right w:val="none" w:sz="0" w:space="0" w:color="auto"/>
      </w:divBdr>
      <w:divsChild>
        <w:div w:id="1061322156">
          <w:marLeft w:val="0"/>
          <w:marRight w:val="0"/>
          <w:marTop w:val="0"/>
          <w:marBottom w:val="0"/>
          <w:divBdr>
            <w:top w:val="none" w:sz="0" w:space="0" w:color="auto"/>
            <w:left w:val="none" w:sz="0" w:space="0" w:color="auto"/>
            <w:bottom w:val="none" w:sz="0" w:space="0" w:color="auto"/>
            <w:right w:val="none" w:sz="0" w:space="0" w:color="auto"/>
          </w:divBdr>
        </w:div>
        <w:div w:id="1833330476">
          <w:marLeft w:val="0"/>
          <w:marRight w:val="0"/>
          <w:marTop w:val="0"/>
          <w:marBottom w:val="0"/>
          <w:divBdr>
            <w:top w:val="none" w:sz="0" w:space="0" w:color="auto"/>
            <w:left w:val="none" w:sz="0" w:space="0" w:color="auto"/>
            <w:bottom w:val="none" w:sz="0" w:space="0" w:color="auto"/>
            <w:right w:val="none" w:sz="0" w:space="0" w:color="auto"/>
          </w:divBdr>
        </w:div>
      </w:divsChild>
    </w:div>
    <w:div w:id="662468323">
      <w:bodyDiv w:val="1"/>
      <w:marLeft w:val="0"/>
      <w:marRight w:val="0"/>
      <w:marTop w:val="0"/>
      <w:marBottom w:val="0"/>
      <w:divBdr>
        <w:top w:val="none" w:sz="0" w:space="0" w:color="auto"/>
        <w:left w:val="none" w:sz="0" w:space="0" w:color="auto"/>
        <w:bottom w:val="none" w:sz="0" w:space="0" w:color="auto"/>
        <w:right w:val="none" w:sz="0" w:space="0" w:color="auto"/>
      </w:divBdr>
      <w:divsChild>
        <w:div w:id="8147667">
          <w:marLeft w:val="0"/>
          <w:marRight w:val="0"/>
          <w:marTop w:val="0"/>
          <w:marBottom w:val="0"/>
          <w:divBdr>
            <w:top w:val="none" w:sz="0" w:space="0" w:color="auto"/>
            <w:left w:val="none" w:sz="0" w:space="0" w:color="auto"/>
            <w:bottom w:val="none" w:sz="0" w:space="0" w:color="auto"/>
            <w:right w:val="none" w:sz="0" w:space="0" w:color="auto"/>
          </w:divBdr>
        </w:div>
        <w:div w:id="280697188">
          <w:marLeft w:val="0"/>
          <w:marRight w:val="0"/>
          <w:marTop w:val="0"/>
          <w:marBottom w:val="0"/>
          <w:divBdr>
            <w:top w:val="none" w:sz="0" w:space="0" w:color="auto"/>
            <w:left w:val="none" w:sz="0" w:space="0" w:color="auto"/>
            <w:bottom w:val="none" w:sz="0" w:space="0" w:color="auto"/>
            <w:right w:val="none" w:sz="0" w:space="0" w:color="auto"/>
          </w:divBdr>
        </w:div>
        <w:div w:id="677196637">
          <w:marLeft w:val="0"/>
          <w:marRight w:val="0"/>
          <w:marTop w:val="0"/>
          <w:marBottom w:val="0"/>
          <w:divBdr>
            <w:top w:val="none" w:sz="0" w:space="0" w:color="auto"/>
            <w:left w:val="none" w:sz="0" w:space="0" w:color="auto"/>
            <w:bottom w:val="none" w:sz="0" w:space="0" w:color="auto"/>
            <w:right w:val="none" w:sz="0" w:space="0" w:color="auto"/>
          </w:divBdr>
        </w:div>
        <w:div w:id="201140945">
          <w:marLeft w:val="0"/>
          <w:marRight w:val="0"/>
          <w:marTop w:val="0"/>
          <w:marBottom w:val="0"/>
          <w:divBdr>
            <w:top w:val="none" w:sz="0" w:space="0" w:color="auto"/>
            <w:left w:val="none" w:sz="0" w:space="0" w:color="auto"/>
            <w:bottom w:val="none" w:sz="0" w:space="0" w:color="auto"/>
            <w:right w:val="none" w:sz="0" w:space="0" w:color="auto"/>
          </w:divBdr>
        </w:div>
      </w:divsChild>
    </w:div>
    <w:div w:id="692653118">
      <w:bodyDiv w:val="1"/>
      <w:marLeft w:val="0"/>
      <w:marRight w:val="0"/>
      <w:marTop w:val="0"/>
      <w:marBottom w:val="0"/>
      <w:divBdr>
        <w:top w:val="none" w:sz="0" w:space="0" w:color="auto"/>
        <w:left w:val="none" w:sz="0" w:space="0" w:color="auto"/>
        <w:bottom w:val="none" w:sz="0" w:space="0" w:color="auto"/>
        <w:right w:val="none" w:sz="0" w:space="0" w:color="auto"/>
      </w:divBdr>
      <w:divsChild>
        <w:div w:id="918367073">
          <w:marLeft w:val="0"/>
          <w:marRight w:val="0"/>
          <w:marTop w:val="0"/>
          <w:marBottom w:val="0"/>
          <w:divBdr>
            <w:top w:val="none" w:sz="0" w:space="0" w:color="auto"/>
            <w:left w:val="none" w:sz="0" w:space="0" w:color="auto"/>
            <w:bottom w:val="none" w:sz="0" w:space="0" w:color="auto"/>
            <w:right w:val="none" w:sz="0" w:space="0" w:color="auto"/>
          </w:divBdr>
        </w:div>
        <w:div w:id="534586020">
          <w:marLeft w:val="0"/>
          <w:marRight w:val="0"/>
          <w:marTop w:val="0"/>
          <w:marBottom w:val="0"/>
          <w:divBdr>
            <w:top w:val="none" w:sz="0" w:space="0" w:color="auto"/>
            <w:left w:val="none" w:sz="0" w:space="0" w:color="auto"/>
            <w:bottom w:val="none" w:sz="0" w:space="0" w:color="auto"/>
            <w:right w:val="none" w:sz="0" w:space="0" w:color="auto"/>
          </w:divBdr>
        </w:div>
        <w:div w:id="1474710921">
          <w:marLeft w:val="0"/>
          <w:marRight w:val="0"/>
          <w:marTop w:val="0"/>
          <w:marBottom w:val="0"/>
          <w:divBdr>
            <w:top w:val="none" w:sz="0" w:space="0" w:color="auto"/>
            <w:left w:val="none" w:sz="0" w:space="0" w:color="auto"/>
            <w:bottom w:val="none" w:sz="0" w:space="0" w:color="auto"/>
            <w:right w:val="none" w:sz="0" w:space="0" w:color="auto"/>
          </w:divBdr>
        </w:div>
      </w:divsChild>
    </w:div>
    <w:div w:id="782269405">
      <w:bodyDiv w:val="1"/>
      <w:marLeft w:val="0"/>
      <w:marRight w:val="0"/>
      <w:marTop w:val="0"/>
      <w:marBottom w:val="0"/>
      <w:divBdr>
        <w:top w:val="none" w:sz="0" w:space="0" w:color="auto"/>
        <w:left w:val="none" w:sz="0" w:space="0" w:color="auto"/>
        <w:bottom w:val="none" w:sz="0" w:space="0" w:color="auto"/>
        <w:right w:val="none" w:sz="0" w:space="0" w:color="auto"/>
      </w:divBdr>
    </w:div>
    <w:div w:id="797992124">
      <w:bodyDiv w:val="1"/>
      <w:marLeft w:val="0"/>
      <w:marRight w:val="0"/>
      <w:marTop w:val="0"/>
      <w:marBottom w:val="0"/>
      <w:divBdr>
        <w:top w:val="none" w:sz="0" w:space="0" w:color="auto"/>
        <w:left w:val="none" w:sz="0" w:space="0" w:color="auto"/>
        <w:bottom w:val="none" w:sz="0" w:space="0" w:color="auto"/>
        <w:right w:val="none" w:sz="0" w:space="0" w:color="auto"/>
      </w:divBdr>
      <w:divsChild>
        <w:div w:id="322439066">
          <w:marLeft w:val="0"/>
          <w:marRight w:val="0"/>
          <w:marTop w:val="0"/>
          <w:marBottom w:val="0"/>
          <w:divBdr>
            <w:top w:val="none" w:sz="0" w:space="0" w:color="auto"/>
            <w:left w:val="none" w:sz="0" w:space="0" w:color="auto"/>
            <w:bottom w:val="none" w:sz="0" w:space="0" w:color="auto"/>
            <w:right w:val="none" w:sz="0" w:space="0" w:color="auto"/>
          </w:divBdr>
          <w:divsChild>
            <w:div w:id="1719041447">
              <w:marLeft w:val="0"/>
              <w:marRight w:val="0"/>
              <w:marTop w:val="0"/>
              <w:marBottom w:val="0"/>
              <w:divBdr>
                <w:top w:val="none" w:sz="0" w:space="0" w:color="auto"/>
                <w:left w:val="none" w:sz="0" w:space="0" w:color="auto"/>
                <w:bottom w:val="none" w:sz="0" w:space="0" w:color="auto"/>
                <w:right w:val="none" w:sz="0" w:space="0" w:color="auto"/>
              </w:divBdr>
              <w:divsChild>
                <w:div w:id="977228571">
                  <w:marLeft w:val="0"/>
                  <w:marRight w:val="0"/>
                  <w:marTop w:val="0"/>
                  <w:marBottom w:val="0"/>
                  <w:divBdr>
                    <w:top w:val="none" w:sz="0" w:space="0" w:color="auto"/>
                    <w:left w:val="none" w:sz="0" w:space="0" w:color="auto"/>
                    <w:bottom w:val="none" w:sz="0" w:space="0" w:color="auto"/>
                    <w:right w:val="none" w:sz="0" w:space="0" w:color="auto"/>
                  </w:divBdr>
                  <w:divsChild>
                    <w:div w:id="1458795630">
                      <w:marLeft w:val="0"/>
                      <w:marRight w:val="0"/>
                      <w:marTop w:val="0"/>
                      <w:marBottom w:val="0"/>
                      <w:divBdr>
                        <w:top w:val="none" w:sz="0" w:space="0" w:color="auto"/>
                        <w:left w:val="none" w:sz="0" w:space="0" w:color="auto"/>
                        <w:bottom w:val="none" w:sz="0" w:space="0" w:color="auto"/>
                        <w:right w:val="none" w:sz="0" w:space="0" w:color="auto"/>
                      </w:divBdr>
                      <w:divsChild>
                        <w:div w:id="836773022">
                          <w:marLeft w:val="0"/>
                          <w:marRight w:val="0"/>
                          <w:marTop w:val="0"/>
                          <w:marBottom w:val="0"/>
                          <w:divBdr>
                            <w:top w:val="none" w:sz="0" w:space="0" w:color="auto"/>
                            <w:left w:val="none" w:sz="0" w:space="0" w:color="auto"/>
                            <w:bottom w:val="none" w:sz="0" w:space="0" w:color="auto"/>
                            <w:right w:val="none" w:sz="0" w:space="0" w:color="auto"/>
                          </w:divBdr>
                          <w:divsChild>
                            <w:div w:id="5068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564859">
      <w:bodyDiv w:val="1"/>
      <w:marLeft w:val="0"/>
      <w:marRight w:val="0"/>
      <w:marTop w:val="0"/>
      <w:marBottom w:val="0"/>
      <w:divBdr>
        <w:top w:val="none" w:sz="0" w:space="0" w:color="auto"/>
        <w:left w:val="none" w:sz="0" w:space="0" w:color="auto"/>
        <w:bottom w:val="none" w:sz="0" w:space="0" w:color="auto"/>
        <w:right w:val="none" w:sz="0" w:space="0" w:color="auto"/>
      </w:divBdr>
      <w:divsChild>
        <w:div w:id="1892035101">
          <w:marLeft w:val="0"/>
          <w:marRight w:val="0"/>
          <w:marTop w:val="0"/>
          <w:marBottom w:val="0"/>
          <w:divBdr>
            <w:top w:val="none" w:sz="0" w:space="0" w:color="auto"/>
            <w:left w:val="none" w:sz="0" w:space="0" w:color="auto"/>
            <w:bottom w:val="none" w:sz="0" w:space="0" w:color="auto"/>
            <w:right w:val="none" w:sz="0" w:space="0" w:color="auto"/>
          </w:divBdr>
        </w:div>
      </w:divsChild>
    </w:div>
    <w:div w:id="1253584749">
      <w:bodyDiv w:val="1"/>
      <w:marLeft w:val="0"/>
      <w:marRight w:val="0"/>
      <w:marTop w:val="0"/>
      <w:marBottom w:val="0"/>
      <w:divBdr>
        <w:top w:val="none" w:sz="0" w:space="0" w:color="auto"/>
        <w:left w:val="none" w:sz="0" w:space="0" w:color="auto"/>
        <w:bottom w:val="none" w:sz="0" w:space="0" w:color="auto"/>
        <w:right w:val="none" w:sz="0" w:space="0" w:color="auto"/>
      </w:divBdr>
      <w:divsChild>
        <w:div w:id="2113284191">
          <w:marLeft w:val="0"/>
          <w:marRight w:val="0"/>
          <w:marTop w:val="0"/>
          <w:marBottom w:val="0"/>
          <w:divBdr>
            <w:top w:val="none" w:sz="0" w:space="0" w:color="auto"/>
            <w:left w:val="none" w:sz="0" w:space="0" w:color="auto"/>
            <w:bottom w:val="none" w:sz="0" w:space="0" w:color="auto"/>
            <w:right w:val="none" w:sz="0" w:space="0" w:color="auto"/>
          </w:divBdr>
        </w:div>
      </w:divsChild>
    </w:div>
    <w:div w:id="1499885162">
      <w:bodyDiv w:val="1"/>
      <w:marLeft w:val="0"/>
      <w:marRight w:val="0"/>
      <w:marTop w:val="0"/>
      <w:marBottom w:val="0"/>
      <w:divBdr>
        <w:top w:val="none" w:sz="0" w:space="0" w:color="auto"/>
        <w:left w:val="none" w:sz="0" w:space="0" w:color="auto"/>
        <w:bottom w:val="none" w:sz="0" w:space="0" w:color="auto"/>
        <w:right w:val="none" w:sz="0" w:space="0" w:color="auto"/>
      </w:divBdr>
      <w:divsChild>
        <w:div w:id="2001885913">
          <w:marLeft w:val="0"/>
          <w:marRight w:val="0"/>
          <w:marTop w:val="0"/>
          <w:marBottom w:val="0"/>
          <w:divBdr>
            <w:top w:val="none" w:sz="0" w:space="0" w:color="auto"/>
            <w:left w:val="none" w:sz="0" w:space="0" w:color="auto"/>
            <w:bottom w:val="none" w:sz="0" w:space="0" w:color="auto"/>
            <w:right w:val="none" w:sz="0" w:space="0" w:color="auto"/>
          </w:divBdr>
        </w:div>
      </w:divsChild>
    </w:div>
    <w:div w:id="1734694828">
      <w:bodyDiv w:val="1"/>
      <w:marLeft w:val="0"/>
      <w:marRight w:val="0"/>
      <w:marTop w:val="0"/>
      <w:marBottom w:val="0"/>
      <w:divBdr>
        <w:top w:val="none" w:sz="0" w:space="0" w:color="auto"/>
        <w:left w:val="none" w:sz="0" w:space="0" w:color="auto"/>
        <w:bottom w:val="none" w:sz="0" w:space="0" w:color="auto"/>
        <w:right w:val="none" w:sz="0" w:space="0" w:color="auto"/>
      </w:divBdr>
      <w:divsChild>
        <w:div w:id="275409255">
          <w:marLeft w:val="0"/>
          <w:marRight w:val="0"/>
          <w:marTop w:val="0"/>
          <w:marBottom w:val="0"/>
          <w:divBdr>
            <w:top w:val="none" w:sz="0" w:space="0" w:color="auto"/>
            <w:left w:val="none" w:sz="0" w:space="0" w:color="auto"/>
            <w:bottom w:val="none" w:sz="0" w:space="0" w:color="auto"/>
            <w:right w:val="none" w:sz="0" w:space="0" w:color="auto"/>
          </w:divBdr>
        </w:div>
        <w:div w:id="1212155040">
          <w:marLeft w:val="0"/>
          <w:marRight w:val="0"/>
          <w:marTop w:val="0"/>
          <w:marBottom w:val="0"/>
          <w:divBdr>
            <w:top w:val="none" w:sz="0" w:space="0" w:color="auto"/>
            <w:left w:val="none" w:sz="0" w:space="0" w:color="auto"/>
            <w:bottom w:val="none" w:sz="0" w:space="0" w:color="auto"/>
            <w:right w:val="none" w:sz="0" w:space="0" w:color="auto"/>
          </w:divBdr>
        </w:div>
      </w:divsChild>
    </w:div>
    <w:div w:id="1985891888">
      <w:bodyDiv w:val="1"/>
      <w:marLeft w:val="0"/>
      <w:marRight w:val="0"/>
      <w:marTop w:val="0"/>
      <w:marBottom w:val="0"/>
      <w:divBdr>
        <w:top w:val="none" w:sz="0" w:space="0" w:color="auto"/>
        <w:left w:val="none" w:sz="0" w:space="0" w:color="auto"/>
        <w:bottom w:val="none" w:sz="0" w:space="0" w:color="auto"/>
        <w:right w:val="none" w:sz="0" w:space="0" w:color="auto"/>
      </w:divBdr>
      <w:divsChild>
        <w:div w:id="523398074">
          <w:marLeft w:val="0"/>
          <w:marRight w:val="0"/>
          <w:marTop w:val="0"/>
          <w:marBottom w:val="0"/>
          <w:divBdr>
            <w:top w:val="none" w:sz="0" w:space="0" w:color="auto"/>
            <w:left w:val="none" w:sz="0" w:space="0" w:color="auto"/>
            <w:bottom w:val="none" w:sz="0" w:space="0" w:color="auto"/>
            <w:right w:val="none" w:sz="0" w:space="0" w:color="auto"/>
          </w:divBdr>
        </w:div>
      </w:divsChild>
    </w:div>
    <w:div w:id="2111655439">
      <w:bodyDiv w:val="1"/>
      <w:marLeft w:val="0"/>
      <w:marRight w:val="0"/>
      <w:marTop w:val="0"/>
      <w:marBottom w:val="0"/>
      <w:divBdr>
        <w:top w:val="none" w:sz="0" w:space="0" w:color="auto"/>
        <w:left w:val="none" w:sz="0" w:space="0" w:color="auto"/>
        <w:bottom w:val="none" w:sz="0" w:space="0" w:color="auto"/>
        <w:right w:val="none" w:sz="0" w:space="0" w:color="auto"/>
      </w:divBdr>
      <w:divsChild>
        <w:div w:id="132365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xylahealthandwellbeing.com/our-services/diabetes-remission/nhs-low-calorie-di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altra.com/media/wy5n1a0p/altralifeallproduct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abetes.org.uk/research/research-round-up/research-spotlight/research-spotlight-low-calorie-liquid-di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irectclinicaltria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x37t xmlns="e4d966cc-d19f-4fe9-97ea-ca39f6129846">
      <UserInfo>
        <DisplayName/>
        <AccountId xsi:nil="true"/>
        <AccountType/>
      </UserInfo>
    </x37t>
    <_x0061_on5 xmlns="e4d966cc-d19f-4fe9-97ea-ca39f6129846" xsi:nil="true"/>
    <_ip_UnifiedCompliancePolicyProperties xmlns="http://schemas.microsoft.com/sharepoint/v3" xsi:nil="true"/>
    <Status xmlns="e4d966cc-d19f-4fe9-97ea-ca39f6129846" xsi:nil="true"/>
    <Comments xmlns="e4d966cc-d19f-4fe9-97ea-ca39f6129846" xsi:nil="true"/>
    <Author0 xmlns="e4d966cc-d19f-4fe9-97ea-ca39f61298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CA80D65ADE644E8282E21BBBC49A31" ma:contentTypeVersion="20" ma:contentTypeDescription="Create a new document." ma:contentTypeScope="" ma:versionID="5a23c67cd3ba11b5193e15713f802c3a">
  <xsd:schema xmlns:xsd="http://www.w3.org/2001/XMLSchema" xmlns:xs="http://www.w3.org/2001/XMLSchema" xmlns:p="http://schemas.microsoft.com/office/2006/metadata/properties" xmlns:ns1="http://schemas.microsoft.com/sharepoint/v3" xmlns:ns2="e4d966cc-d19f-4fe9-97ea-ca39f6129846" xmlns:ns3="100e26d2-269f-4875-9d3f-575ce234e9c9" targetNamespace="http://schemas.microsoft.com/office/2006/metadata/properties" ma:root="true" ma:fieldsID="d0df1a6fda5c5e09720e7d5369b4e0ab" ns1:_="" ns2:_="" ns3:_="">
    <xsd:import namespace="http://schemas.microsoft.com/sharepoint/v3"/>
    <xsd:import namespace="e4d966cc-d19f-4fe9-97ea-ca39f6129846"/>
    <xsd:import namespace="100e26d2-269f-4875-9d3f-575ce234e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Author0" minOccurs="0"/>
                <xsd:element ref="ns2:Status" minOccurs="0"/>
                <xsd:element ref="ns2:x37t" minOccurs="0"/>
                <xsd:element ref="ns2:_x0061_on5"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966cc-d19f-4fe9-97ea-ca39f6129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uthor0" ma:index="21" nillable="true" ma:displayName="Author" ma:description="Name of author" ma:format="Dropdown" ma:internalName="Author0">
      <xsd:simpleType>
        <xsd:restriction base="dms:Text">
          <xsd:maxLength value="255"/>
        </xsd:restriction>
      </xsd:simpleType>
    </xsd:element>
    <xsd:element name="Status" ma:index="22" nillable="true" ma:displayName="Status" ma:description="Describes status of blog" ma:format="Dropdown" ma:internalName="Status">
      <xsd:simpleType>
        <xsd:restriction base="dms:Choice">
          <xsd:enumeration value="1st Draft submitted"/>
          <xsd:enumeration value="In Review by MDT"/>
          <xsd:enumeration value="Non MDT Review"/>
          <xsd:enumeration value="Signed Off"/>
          <xsd:enumeration value="Not for publishing"/>
        </xsd:restriction>
      </xsd:simpleType>
    </xsd:element>
    <xsd:element name="x37t" ma:index="23" nillable="true" ma:displayName="Who" ma:list="UserInfo" ma:internalName="x37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1_on5" ma:index="24" nillable="true" ma:displayName="Due Date" ma:internalName="_x0061_on5">
      <xsd:simpleType>
        <xsd:restriction base="dms:DateTime"/>
      </xsd:simpleType>
    </xsd:element>
    <xsd:element name="Comments" ma:index="25" nillable="true" ma:displayName="Comments" ma:internalName="Comments">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e26d2-269f-4875-9d3f-575ce234e9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725D3-2D82-4283-B9AD-375E57FD6B84}">
  <ds:schemaRefs>
    <ds:schemaRef ds:uri="http://schemas.microsoft.com/office/2006/metadata/properties"/>
    <ds:schemaRef ds:uri="100e26d2-269f-4875-9d3f-575ce234e9c9"/>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4d966cc-d19f-4fe9-97ea-ca39f612984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EC058D3-D7ED-4894-A6E6-25845EF1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966cc-d19f-4fe9-97ea-ca39f6129846"/>
    <ds:schemaRef ds:uri="100e26d2-269f-4875-9d3f-575ce234e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5E019-8025-4A43-BFF2-9EB132F66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7770</Characters>
  <Application>Microsoft Office Word</Application>
  <DocSecurity>0</DocSecurity>
  <Lines>64</Lines>
  <Paragraphs>18</Paragraphs>
  <ScaleCrop>false</ScaleCrop>
  <Company>NEL CSU</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Clare - Integrated Care Project Support Office</dc:creator>
  <cp:keywords/>
  <dc:description/>
  <cp:lastModifiedBy>Sam Lovatt</cp:lastModifiedBy>
  <cp:revision>2</cp:revision>
  <dcterms:created xsi:type="dcterms:W3CDTF">2021-05-14T08:45:00Z</dcterms:created>
  <dcterms:modified xsi:type="dcterms:W3CDTF">2021-05-14T08:45:00Z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0x010100EFCA80D65ADE644E8282E21BBBC49A31</vt:lpwstr>
  </property>
</Properties>
</file>